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2024 года: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электронная регистрация прав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Управление Росреестра по Новосибирской области подводит итоги работы за 2024 год.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6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продолжила набирать популярность </w:t>
      </w:r>
      <w:r>
        <w:rPr>
          <w:rFonts w:ascii="Times New Roman" w:hAnsi="Times New Roman" w:cs="Times New Roman"/>
          <w:sz w:val="28"/>
          <w:szCs w:val="28"/>
        </w:rPr>
        <w:t xml:space="preserve">электронная регистрация прав на недвижимость. </w:t>
      </w:r>
      <w:r>
        <w:rPr>
          <w:rFonts w:ascii="Times New Roman" w:hAnsi="Times New Roman" w:cs="Times New Roman"/>
          <w:sz w:val="28"/>
          <w:szCs w:val="28"/>
        </w:rPr>
        <w:t xml:space="preserve">21 4493 </w:t>
      </w:r>
      <w:r>
        <w:rPr>
          <w:rFonts w:ascii="Times New Roman" w:hAnsi="Times New Roman" w:cs="Times New Roman"/>
          <w:sz w:val="28"/>
          <w:szCs w:val="28"/>
        </w:rPr>
        <w:t xml:space="preserve">заявления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об осуществлении регистрационных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виде, что составило 52,5 %.</w:t>
      </w:r>
      <w:r>
        <w:rPr>
          <w:rFonts w:ascii="Times New Roman" w:hAnsi="Times New Roman" w:cs="Times New Roman"/>
          <w:sz w:val="28"/>
          <w:szCs w:val="28"/>
        </w:rPr>
        <w:t xml:space="preserve"> В 2023 году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электронной форме поступило </w:t>
      </w:r>
      <w:r>
        <w:rPr>
          <w:rFonts w:ascii="Times New Roman" w:hAnsi="Times New Roman" w:cs="Times New Roman"/>
          <w:sz w:val="28"/>
          <w:szCs w:val="28"/>
        </w:rPr>
        <w:t xml:space="preserve">47 % заявлений о регистрации прав.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2024 году в электронном виде направлено свыше 26 000, или 94 % заявлений о регистрации ипотеки. При этом 97 % электронных ипотек зарегистрировано в течение одного рабочего дня, что на 12 % больше, чем             в 2023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По итогам года одной из востребованных электронных услуг в регионе осталась 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договор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в долевом строительстве.</w:t>
      </w:r>
      <w:r>
        <w:rPr>
          <w:rFonts w:ascii="Times New Roman" w:hAnsi="Times New Roman" w:cs="Times New Roman"/>
          <w:sz w:val="28"/>
          <w:szCs w:val="28"/>
        </w:rPr>
        <w:t xml:space="preserve"> Более </w:t>
      </w:r>
      <w:r>
        <w:rPr>
          <w:rFonts w:ascii="Times New Roman" w:hAnsi="Times New Roman" w:cs="Times New Roman"/>
          <w:sz w:val="28"/>
          <w:szCs w:val="28"/>
        </w:rPr>
        <w:t xml:space="preserve">23000, то есть 86 %, </w:t>
      </w:r>
      <w:r>
        <w:rPr>
          <w:rFonts w:ascii="Times New Roman" w:hAnsi="Times New Roman" w:cs="Times New Roman"/>
          <w:sz w:val="28"/>
          <w:szCs w:val="28"/>
        </w:rPr>
        <w:t xml:space="preserve">сделок на первичном рынке недвижимости оформлены электронно.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6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Около 80 % обращений юридических лиц об осуществлении регистрационных действий направлены в электронном виде, что на 15 % превышает показатель прошлого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2025-01-17T09:00:00Z</dcterms:modified>
  <cp:version>917504</cp:version>
</cp:coreProperties>
</file>