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C5" w:rsidRDefault="00270FC5">
      <w:pPr>
        <w:rPr>
          <w:b/>
          <w:sz w:val="28"/>
          <w:szCs w:val="28"/>
        </w:rPr>
      </w:pPr>
      <w:r w:rsidRPr="00270FC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7766D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270FC5" w:rsidRDefault="00270FC5">
      <w:pPr>
        <w:rPr>
          <w:b/>
          <w:sz w:val="28"/>
          <w:szCs w:val="28"/>
        </w:rPr>
      </w:pPr>
    </w:p>
    <w:p w:rsidR="00270FC5" w:rsidRDefault="00270FC5">
      <w:pPr>
        <w:jc w:val="center"/>
        <w:rPr>
          <w:b/>
          <w:sz w:val="26"/>
          <w:szCs w:val="26"/>
        </w:rPr>
      </w:pPr>
    </w:p>
    <w:p w:rsidR="00270FC5" w:rsidRDefault="001921E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Почти полмиллиона обращений за оформлением недвижимости Новосибирской области поступило в 2024 году</w:t>
      </w:r>
    </w:p>
    <w:p w:rsidR="00270FC5" w:rsidRDefault="00270FC5">
      <w:pPr>
        <w:jc w:val="center"/>
        <w:rPr>
          <w:b/>
          <w:bCs/>
          <w:sz w:val="28"/>
          <w:szCs w:val="28"/>
        </w:rPr>
      </w:pPr>
    </w:p>
    <w:p w:rsidR="00270FC5" w:rsidRDefault="001921E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 сравнении с прошлым годом общая картина активности рынка недвижимости Новосибирской области существенно не изменилась.</w:t>
      </w:r>
      <w:r>
        <w:rPr>
          <w:b/>
          <w:sz w:val="28"/>
          <w:szCs w:val="28"/>
        </w:rPr>
        <w:t xml:space="preserve"> </w:t>
      </w:r>
    </w:p>
    <w:p w:rsidR="00270FC5" w:rsidRDefault="001921E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За год в новосибирский </w:t>
      </w:r>
      <w:proofErr w:type="spellStart"/>
      <w:r>
        <w:rPr>
          <w:sz w:val="28"/>
          <w:szCs w:val="28"/>
        </w:rPr>
        <w:t>Росреест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поступило 495,7 тысяч заявлений о постановке объектов недвижимости на кадастровый учет, регистрацию прав и сделок с недвижимостью, это на</w:t>
      </w:r>
      <w:bookmarkStart w:id="0" w:name="undefined"/>
      <w:bookmarkEnd w:id="0"/>
      <w:r>
        <w:rPr>
          <w:sz w:val="28"/>
          <w:szCs w:val="28"/>
        </w:rPr>
        <w:t xml:space="preserve"> 2,5% меньше, чем в 2023 году, и на 7% больше, чем в 2022 году.</w:t>
      </w:r>
      <w:proofErr w:type="gramEnd"/>
    </w:p>
    <w:p w:rsidR="00270FC5" w:rsidRDefault="001921E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четвертом квартале 2024 года поступило максимально</w:t>
      </w:r>
      <w:r>
        <w:rPr>
          <w:sz w:val="28"/>
          <w:szCs w:val="28"/>
        </w:rPr>
        <w:t>е количество обращений – 139,5 тысяч, ро</w:t>
      </w:r>
      <w:proofErr w:type="gramStart"/>
      <w:r>
        <w:rPr>
          <w:sz w:val="28"/>
          <w:szCs w:val="28"/>
        </w:rPr>
        <w:t>ст в ср</w:t>
      </w:r>
      <w:proofErr w:type="gramEnd"/>
      <w:r>
        <w:rPr>
          <w:sz w:val="28"/>
          <w:szCs w:val="28"/>
        </w:rPr>
        <w:t xml:space="preserve">авнении с другими кварталами варьируется от 9% до 27%. Декабрь 2024 год стал самым результативным месяцем за последние четыре года: поступило почти 53 тысячи заявлений. </w:t>
      </w:r>
    </w:p>
    <w:p w:rsidR="00270FC5" w:rsidRDefault="001921E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Больше половины заявлений (251,3 тысяч</w:t>
      </w:r>
      <w:r>
        <w:rPr>
          <w:sz w:val="28"/>
          <w:szCs w:val="28"/>
        </w:rPr>
        <w:t xml:space="preserve">и) подано в электронном виде. </w:t>
      </w:r>
    </w:p>
    <w:p w:rsidR="00270FC5" w:rsidRDefault="001921E7">
      <w:pPr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«Электронная регистрация набирает популярность. Доверие новосибирцев к электронным услугам </w:t>
      </w:r>
      <w:proofErr w:type="spellStart"/>
      <w:r>
        <w:rPr>
          <w:i/>
          <w:sz w:val="28"/>
          <w:szCs w:val="28"/>
        </w:rPr>
        <w:t>Росреестра</w:t>
      </w:r>
      <w:proofErr w:type="spellEnd"/>
      <w:r>
        <w:rPr>
          <w:i/>
          <w:sz w:val="28"/>
          <w:szCs w:val="28"/>
        </w:rPr>
        <w:t xml:space="preserve"> растет, об этом свидетельствуют цифры: число электронных обращений в 2024 году выросло за последние четыре год на 38%»,</w:t>
      </w:r>
      <w:r>
        <w:rPr>
          <w:sz w:val="28"/>
          <w:szCs w:val="28"/>
        </w:rPr>
        <w:t xml:space="preserve"> - о</w:t>
      </w:r>
      <w:r>
        <w:rPr>
          <w:sz w:val="28"/>
          <w:szCs w:val="28"/>
        </w:rPr>
        <w:t xml:space="preserve">тметила заместитель руководителя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Новосибирской области </w:t>
      </w:r>
      <w:r>
        <w:rPr>
          <w:b/>
          <w:sz w:val="28"/>
          <w:szCs w:val="28"/>
        </w:rPr>
        <w:t xml:space="preserve">Наталья </w:t>
      </w:r>
      <w:proofErr w:type="spellStart"/>
      <w:r>
        <w:rPr>
          <w:b/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 xml:space="preserve">. </w:t>
      </w:r>
    </w:p>
    <w:p w:rsidR="00270FC5" w:rsidRDefault="001921E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Единый государственный реестр недвижимости за год пополнился сведениями о более 62 тысячах объектов недвижимости Новосибирской области, общее количество объ</w:t>
      </w:r>
      <w:r>
        <w:rPr>
          <w:sz w:val="28"/>
          <w:szCs w:val="28"/>
        </w:rPr>
        <w:t xml:space="preserve">ектов сегодня составляет 3 031 831. Этому способствовало не только строительство новых объектов, но и совместная работа новосибирского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с региональными органами власти и местного самоуправления по выявлению правообладателей ранее учтенных объекто</w:t>
      </w:r>
      <w:r>
        <w:rPr>
          <w:sz w:val="28"/>
          <w:szCs w:val="28"/>
        </w:rPr>
        <w:t>в недвижимости, а также проведению комплексных кадастровых работ.</w:t>
      </w:r>
    </w:p>
    <w:p w:rsidR="00270FC5" w:rsidRDefault="001921E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комплексные кадастровые работы на территории региона проводились за счет средств областного и местного бюджетов, работы проведены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Барабинском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Болотнинском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Доволенском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Иск</w:t>
      </w:r>
      <w:r>
        <w:rPr>
          <w:sz w:val="28"/>
          <w:szCs w:val="28"/>
        </w:rPr>
        <w:t>итимском</w:t>
      </w:r>
      <w:proofErr w:type="spellEnd"/>
      <w:r>
        <w:rPr>
          <w:sz w:val="28"/>
          <w:szCs w:val="28"/>
        </w:rPr>
        <w:t xml:space="preserve">, Краснозерском, Куйбышевском, </w:t>
      </w:r>
      <w:proofErr w:type="spellStart"/>
      <w:r>
        <w:rPr>
          <w:sz w:val="28"/>
          <w:szCs w:val="28"/>
        </w:rPr>
        <w:t>Маслянинском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Мошковском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Чулымском</w:t>
      </w:r>
      <w:proofErr w:type="spellEnd"/>
      <w:r>
        <w:rPr>
          <w:sz w:val="28"/>
          <w:szCs w:val="28"/>
        </w:rPr>
        <w:t xml:space="preserve"> районах Новосибирской области. В результате в Единый государственный реестр недвижимости внесены сведения о 6 999 объектах </w:t>
      </w:r>
      <w:r>
        <w:rPr>
          <w:sz w:val="28"/>
          <w:szCs w:val="28"/>
        </w:rPr>
        <w:lastRenderedPageBreak/>
        <w:t xml:space="preserve">недвижимости (4 464 – земельные участки, 2 535 – объекты </w:t>
      </w:r>
      <w:r>
        <w:rPr>
          <w:sz w:val="28"/>
          <w:szCs w:val="28"/>
        </w:rPr>
        <w:t xml:space="preserve">капитального строительства). На 2025 год на проведение комплексных кадастровых работ в 125 кадастровых </w:t>
      </w:r>
    </w:p>
    <w:p w:rsidR="00270FC5" w:rsidRDefault="001921E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кварталах из федерального бюджета региону выделены средства федерального бюджета в размере 8,7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рублей.</w:t>
      </w:r>
    </w:p>
    <w:p w:rsidR="00270FC5" w:rsidRDefault="001921E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«Комплексные кадастровые работы за счёт средс</w:t>
      </w:r>
      <w:r>
        <w:rPr>
          <w:i/>
          <w:sz w:val="28"/>
          <w:szCs w:val="28"/>
        </w:rPr>
        <w:t xml:space="preserve">тв федерального бюджета будут осуществляться на территории Новосибирской области филиалом ППК </w:t>
      </w:r>
      <w:proofErr w:type="spellStart"/>
      <w:r>
        <w:rPr>
          <w:i/>
          <w:sz w:val="28"/>
          <w:szCs w:val="28"/>
        </w:rPr>
        <w:t>Роскадастр</w:t>
      </w:r>
      <w:proofErr w:type="spellEnd"/>
      <w:r>
        <w:rPr>
          <w:i/>
          <w:sz w:val="28"/>
          <w:szCs w:val="28"/>
        </w:rPr>
        <w:t xml:space="preserve">. Для нашего региона - это одна из основных задач, - </w:t>
      </w:r>
      <w:r>
        <w:rPr>
          <w:sz w:val="28"/>
          <w:szCs w:val="28"/>
        </w:rPr>
        <w:t>сообщила заместитель директора – главный технолог филиала ППК «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>» по Новосибирской области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Оксана Макаренко</w:t>
      </w:r>
      <w:r>
        <w:rPr>
          <w:sz w:val="28"/>
          <w:szCs w:val="28"/>
        </w:rPr>
        <w:t xml:space="preserve">. - </w:t>
      </w:r>
      <w:r>
        <w:rPr>
          <w:i/>
          <w:sz w:val="28"/>
          <w:szCs w:val="28"/>
        </w:rPr>
        <w:t>Данные работы помогут сделать реестр недвижимости на территории области более полным и точным, позволят внести сведения свыше 20 тысяч объектов недвижимости, уточнить границы  таких объектов и исправить реестровые ошибки».</w:t>
      </w:r>
    </w:p>
    <w:p w:rsidR="00270FC5" w:rsidRDefault="00270FC5">
      <w:pPr>
        <w:spacing w:line="360" w:lineRule="auto"/>
        <w:ind w:firstLine="709"/>
        <w:jc w:val="both"/>
        <w:rPr>
          <w:sz w:val="28"/>
          <w:szCs w:val="28"/>
        </w:rPr>
      </w:pPr>
    </w:p>
    <w:p w:rsidR="00270FC5" w:rsidRDefault="00270FC5">
      <w:pPr>
        <w:jc w:val="both"/>
        <w:rPr>
          <w:sz w:val="28"/>
          <w:szCs w:val="28"/>
        </w:rPr>
      </w:pPr>
    </w:p>
    <w:p w:rsidR="00270FC5" w:rsidRDefault="001921E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</w:t>
      </w:r>
      <w:r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270FC5" w:rsidRDefault="001921E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70FC5" w:rsidRDefault="00270FC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70FC5" w:rsidRDefault="00270FC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70FC5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70FC5" w:rsidRDefault="001921E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270FC5" w:rsidRDefault="001921E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70FC5" w:rsidRDefault="00270FC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70FC5" w:rsidRDefault="001921E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70FC5" w:rsidRDefault="001921E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270FC5" w:rsidRDefault="001921E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70FC5" w:rsidRDefault="001921E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766D6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70FC5" w:rsidRDefault="00270FC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1921E7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1921E7" w:rsidRPr="007766D6">
          <w:rPr>
            <w:rStyle w:val="ac"/>
            <w:rFonts w:ascii="Segoe UI" w:hAnsi="Segoe UI" w:cs="Segoe UI"/>
            <w:sz w:val="18"/>
            <w:szCs w:val="20"/>
          </w:rPr>
          <w:t>@</w:t>
        </w:r>
        <w:r w:rsidR="001921E7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1921E7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1921E7" w:rsidRPr="007766D6">
          <w:rPr>
            <w:rStyle w:val="ac"/>
            <w:rFonts w:ascii="Segoe UI" w:hAnsi="Segoe UI" w:cs="Segoe UI"/>
            <w:sz w:val="18"/>
            <w:szCs w:val="20"/>
          </w:rPr>
          <w:t>.</w:t>
        </w:r>
        <w:r w:rsidR="001921E7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1921E7" w:rsidRPr="007766D6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1921E7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1921E7" w:rsidRPr="007766D6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70FC5" w:rsidRPr="007766D6" w:rsidRDefault="001921E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766D6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7766D6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270FC5" w:rsidRDefault="001921E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7766D6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7766D6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7766D6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7766D6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270FC5" w:rsidRDefault="00270FC5">
      <w:pPr>
        <w:jc w:val="both"/>
      </w:pPr>
    </w:p>
    <w:p w:rsidR="00270FC5" w:rsidRDefault="00270FC5">
      <w:pPr>
        <w:jc w:val="both"/>
      </w:pPr>
    </w:p>
    <w:p w:rsidR="00270FC5" w:rsidRDefault="00270FC5">
      <w:pPr>
        <w:jc w:val="both"/>
      </w:pPr>
    </w:p>
    <w:p w:rsidR="00270FC5" w:rsidRDefault="00270FC5">
      <w:pPr>
        <w:jc w:val="both"/>
      </w:pPr>
    </w:p>
    <w:p w:rsidR="00270FC5" w:rsidRDefault="00270FC5">
      <w:pPr>
        <w:jc w:val="both"/>
      </w:pPr>
    </w:p>
    <w:p w:rsidR="00270FC5" w:rsidRDefault="00270FC5">
      <w:pPr>
        <w:jc w:val="both"/>
      </w:pPr>
    </w:p>
    <w:p w:rsidR="00270FC5" w:rsidRDefault="00270FC5">
      <w:pPr>
        <w:jc w:val="both"/>
      </w:pPr>
    </w:p>
    <w:p w:rsidR="00270FC5" w:rsidRDefault="00270FC5">
      <w:pPr>
        <w:jc w:val="both"/>
      </w:pPr>
    </w:p>
    <w:p w:rsidR="00270FC5" w:rsidRDefault="00270FC5">
      <w:pPr>
        <w:jc w:val="both"/>
        <w:rPr>
          <w:sz w:val="28"/>
          <w:szCs w:val="28"/>
        </w:rPr>
      </w:pPr>
    </w:p>
    <w:p w:rsidR="00270FC5" w:rsidRDefault="00270FC5">
      <w:pPr>
        <w:jc w:val="both"/>
        <w:rPr>
          <w:sz w:val="28"/>
          <w:szCs w:val="28"/>
        </w:rPr>
      </w:pPr>
    </w:p>
    <w:sectPr w:rsidR="00270FC5" w:rsidSect="00270FC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1E7" w:rsidRDefault="001921E7">
      <w:r>
        <w:separator/>
      </w:r>
    </w:p>
  </w:endnote>
  <w:endnote w:type="continuationSeparator" w:id="0">
    <w:p w:rsidR="001921E7" w:rsidRDefault="00192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1E7" w:rsidRDefault="001921E7">
      <w:r>
        <w:separator/>
      </w:r>
    </w:p>
  </w:footnote>
  <w:footnote w:type="continuationSeparator" w:id="0">
    <w:p w:rsidR="001921E7" w:rsidRDefault="001921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27D2"/>
    <w:multiLevelType w:val="hybridMultilevel"/>
    <w:tmpl w:val="D5E2BB58"/>
    <w:lvl w:ilvl="0" w:tplc="D846728A">
      <w:start w:val="1"/>
      <w:numFmt w:val="decimal"/>
      <w:lvlText w:val="%1)"/>
      <w:lvlJc w:val="left"/>
      <w:pPr>
        <w:ind w:left="720" w:hanging="360"/>
      </w:pPr>
    </w:lvl>
    <w:lvl w:ilvl="1" w:tplc="B9A44B6A">
      <w:start w:val="1"/>
      <w:numFmt w:val="lowerLetter"/>
      <w:lvlText w:val="%2."/>
      <w:lvlJc w:val="left"/>
      <w:pPr>
        <w:ind w:left="1440" w:hanging="360"/>
      </w:pPr>
    </w:lvl>
    <w:lvl w:ilvl="2" w:tplc="76868DC4">
      <w:start w:val="1"/>
      <w:numFmt w:val="lowerRoman"/>
      <w:lvlText w:val="%3."/>
      <w:lvlJc w:val="right"/>
      <w:pPr>
        <w:ind w:left="2160" w:hanging="180"/>
      </w:pPr>
    </w:lvl>
    <w:lvl w:ilvl="3" w:tplc="0DCCC1F6">
      <w:start w:val="1"/>
      <w:numFmt w:val="decimal"/>
      <w:lvlText w:val="%4."/>
      <w:lvlJc w:val="left"/>
      <w:pPr>
        <w:ind w:left="2880" w:hanging="360"/>
      </w:pPr>
    </w:lvl>
    <w:lvl w:ilvl="4" w:tplc="7C962DDA">
      <w:start w:val="1"/>
      <w:numFmt w:val="lowerLetter"/>
      <w:lvlText w:val="%5."/>
      <w:lvlJc w:val="left"/>
      <w:pPr>
        <w:ind w:left="3600" w:hanging="360"/>
      </w:pPr>
    </w:lvl>
    <w:lvl w:ilvl="5" w:tplc="5C42AA1C">
      <w:start w:val="1"/>
      <w:numFmt w:val="lowerRoman"/>
      <w:lvlText w:val="%6."/>
      <w:lvlJc w:val="right"/>
      <w:pPr>
        <w:ind w:left="4320" w:hanging="180"/>
      </w:pPr>
    </w:lvl>
    <w:lvl w:ilvl="6" w:tplc="95B838FE">
      <w:start w:val="1"/>
      <w:numFmt w:val="decimal"/>
      <w:lvlText w:val="%7."/>
      <w:lvlJc w:val="left"/>
      <w:pPr>
        <w:ind w:left="5040" w:hanging="360"/>
      </w:pPr>
    </w:lvl>
    <w:lvl w:ilvl="7" w:tplc="C2827C36">
      <w:start w:val="1"/>
      <w:numFmt w:val="lowerLetter"/>
      <w:lvlText w:val="%8."/>
      <w:lvlJc w:val="left"/>
      <w:pPr>
        <w:ind w:left="5760" w:hanging="360"/>
      </w:pPr>
    </w:lvl>
    <w:lvl w:ilvl="8" w:tplc="AB6A916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F6BC9"/>
    <w:multiLevelType w:val="hybridMultilevel"/>
    <w:tmpl w:val="905A3432"/>
    <w:lvl w:ilvl="0" w:tplc="EC92593C">
      <w:start w:val="1"/>
      <w:numFmt w:val="decimal"/>
      <w:lvlText w:val="%1)"/>
      <w:lvlJc w:val="left"/>
      <w:pPr>
        <w:ind w:left="907" w:hanging="360"/>
      </w:pPr>
    </w:lvl>
    <w:lvl w:ilvl="1" w:tplc="AFB40FB6">
      <w:start w:val="1"/>
      <w:numFmt w:val="lowerLetter"/>
      <w:lvlText w:val="%2."/>
      <w:lvlJc w:val="left"/>
      <w:pPr>
        <w:ind w:left="1627" w:hanging="360"/>
      </w:pPr>
    </w:lvl>
    <w:lvl w:ilvl="2" w:tplc="1DCA1406">
      <w:start w:val="1"/>
      <w:numFmt w:val="lowerRoman"/>
      <w:lvlText w:val="%3."/>
      <w:lvlJc w:val="right"/>
      <w:pPr>
        <w:ind w:left="2347" w:hanging="180"/>
      </w:pPr>
    </w:lvl>
    <w:lvl w:ilvl="3" w:tplc="685AA51C">
      <w:start w:val="1"/>
      <w:numFmt w:val="decimal"/>
      <w:lvlText w:val="%4."/>
      <w:lvlJc w:val="left"/>
      <w:pPr>
        <w:ind w:left="3067" w:hanging="360"/>
      </w:pPr>
    </w:lvl>
    <w:lvl w:ilvl="4" w:tplc="A2C016A0">
      <w:start w:val="1"/>
      <w:numFmt w:val="lowerLetter"/>
      <w:lvlText w:val="%5."/>
      <w:lvlJc w:val="left"/>
      <w:pPr>
        <w:ind w:left="3787" w:hanging="360"/>
      </w:pPr>
    </w:lvl>
    <w:lvl w:ilvl="5" w:tplc="3B407368">
      <w:start w:val="1"/>
      <w:numFmt w:val="lowerRoman"/>
      <w:lvlText w:val="%6."/>
      <w:lvlJc w:val="right"/>
      <w:pPr>
        <w:ind w:left="4507" w:hanging="180"/>
      </w:pPr>
    </w:lvl>
    <w:lvl w:ilvl="6" w:tplc="D72A04E8">
      <w:start w:val="1"/>
      <w:numFmt w:val="decimal"/>
      <w:lvlText w:val="%7."/>
      <w:lvlJc w:val="left"/>
      <w:pPr>
        <w:ind w:left="5227" w:hanging="360"/>
      </w:pPr>
    </w:lvl>
    <w:lvl w:ilvl="7" w:tplc="997CD32C">
      <w:start w:val="1"/>
      <w:numFmt w:val="lowerLetter"/>
      <w:lvlText w:val="%8."/>
      <w:lvlJc w:val="left"/>
      <w:pPr>
        <w:ind w:left="5947" w:hanging="360"/>
      </w:pPr>
    </w:lvl>
    <w:lvl w:ilvl="8" w:tplc="F832431E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1F5943F4"/>
    <w:multiLevelType w:val="hybridMultilevel"/>
    <w:tmpl w:val="4CA00AF8"/>
    <w:lvl w:ilvl="0" w:tplc="303CC902">
      <w:start w:val="1"/>
      <w:numFmt w:val="decimal"/>
      <w:lvlText w:val="%1."/>
      <w:lvlJc w:val="left"/>
      <w:pPr>
        <w:ind w:left="6740" w:hanging="360"/>
      </w:pPr>
    </w:lvl>
    <w:lvl w:ilvl="1" w:tplc="D396CEF2">
      <w:start w:val="1"/>
      <w:numFmt w:val="lowerLetter"/>
      <w:lvlText w:val="%2."/>
      <w:lvlJc w:val="left"/>
      <w:pPr>
        <w:ind w:left="1440" w:hanging="360"/>
      </w:pPr>
    </w:lvl>
    <w:lvl w:ilvl="2" w:tplc="AC2CB446">
      <w:start w:val="1"/>
      <w:numFmt w:val="lowerRoman"/>
      <w:lvlText w:val="%3."/>
      <w:lvlJc w:val="right"/>
      <w:pPr>
        <w:ind w:left="2160" w:hanging="180"/>
      </w:pPr>
    </w:lvl>
    <w:lvl w:ilvl="3" w:tplc="81A64980">
      <w:start w:val="1"/>
      <w:numFmt w:val="decimal"/>
      <w:lvlText w:val="%4."/>
      <w:lvlJc w:val="left"/>
      <w:pPr>
        <w:ind w:left="2880" w:hanging="360"/>
      </w:pPr>
    </w:lvl>
    <w:lvl w:ilvl="4" w:tplc="48181508">
      <w:start w:val="1"/>
      <w:numFmt w:val="lowerLetter"/>
      <w:lvlText w:val="%5."/>
      <w:lvlJc w:val="left"/>
      <w:pPr>
        <w:ind w:left="3600" w:hanging="360"/>
      </w:pPr>
    </w:lvl>
    <w:lvl w:ilvl="5" w:tplc="31E44DE6">
      <w:start w:val="1"/>
      <w:numFmt w:val="lowerRoman"/>
      <w:lvlText w:val="%6."/>
      <w:lvlJc w:val="right"/>
      <w:pPr>
        <w:ind w:left="4320" w:hanging="180"/>
      </w:pPr>
    </w:lvl>
    <w:lvl w:ilvl="6" w:tplc="EE942E08">
      <w:start w:val="1"/>
      <w:numFmt w:val="decimal"/>
      <w:lvlText w:val="%7."/>
      <w:lvlJc w:val="left"/>
      <w:pPr>
        <w:ind w:left="5040" w:hanging="360"/>
      </w:pPr>
    </w:lvl>
    <w:lvl w:ilvl="7" w:tplc="2EDC1C5A">
      <w:start w:val="1"/>
      <w:numFmt w:val="lowerLetter"/>
      <w:lvlText w:val="%8."/>
      <w:lvlJc w:val="left"/>
      <w:pPr>
        <w:ind w:left="5760" w:hanging="360"/>
      </w:pPr>
    </w:lvl>
    <w:lvl w:ilvl="8" w:tplc="1C428D5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723A2"/>
    <w:multiLevelType w:val="hybridMultilevel"/>
    <w:tmpl w:val="83387C9C"/>
    <w:lvl w:ilvl="0" w:tplc="FECEE08A">
      <w:start w:val="1"/>
      <w:numFmt w:val="decimal"/>
      <w:lvlText w:val="%1)"/>
      <w:lvlJc w:val="left"/>
      <w:pPr>
        <w:ind w:left="907" w:hanging="360"/>
      </w:pPr>
    </w:lvl>
    <w:lvl w:ilvl="1" w:tplc="91866188">
      <w:start w:val="1"/>
      <w:numFmt w:val="lowerLetter"/>
      <w:lvlText w:val="%2."/>
      <w:lvlJc w:val="left"/>
      <w:pPr>
        <w:ind w:left="1627" w:hanging="360"/>
      </w:pPr>
    </w:lvl>
    <w:lvl w:ilvl="2" w:tplc="318873AA">
      <w:start w:val="1"/>
      <w:numFmt w:val="lowerRoman"/>
      <w:lvlText w:val="%3."/>
      <w:lvlJc w:val="right"/>
      <w:pPr>
        <w:ind w:left="2347" w:hanging="180"/>
      </w:pPr>
    </w:lvl>
    <w:lvl w:ilvl="3" w:tplc="D47E94BE">
      <w:start w:val="1"/>
      <w:numFmt w:val="decimal"/>
      <w:lvlText w:val="%4."/>
      <w:lvlJc w:val="left"/>
      <w:pPr>
        <w:ind w:left="3067" w:hanging="360"/>
      </w:pPr>
    </w:lvl>
    <w:lvl w:ilvl="4" w:tplc="BD26F67A">
      <w:start w:val="1"/>
      <w:numFmt w:val="lowerLetter"/>
      <w:lvlText w:val="%5."/>
      <w:lvlJc w:val="left"/>
      <w:pPr>
        <w:ind w:left="3787" w:hanging="360"/>
      </w:pPr>
    </w:lvl>
    <w:lvl w:ilvl="5" w:tplc="479ED7A4">
      <w:start w:val="1"/>
      <w:numFmt w:val="lowerRoman"/>
      <w:lvlText w:val="%6."/>
      <w:lvlJc w:val="right"/>
      <w:pPr>
        <w:ind w:left="4507" w:hanging="180"/>
      </w:pPr>
    </w:lvl>
    <w:lvl w:ilvl="6" w:tplc="2C1ED0CA">
      <w:start w:val="1"/>
      <w:numFmt w:val="decimal"/>
      <w:lvlText w:val="%7."/>
      <w:lvlJc w:val="left"/>
      <w:pPr>
        <w:ind w:left="5227" w:hanging="360"/>
      </w:pPr>
    </w:lvl>
    <w:lvl w:ilvl="7" w:tplc="80409340">
      <w:start w:val="1"/>
      <w:numFmt w:val="lowerLetter"/>
      <w:lvlText w:val="%8."/>
      <w:lvlJc w:val="left"/>
      <w:pPr>
        <w:ind w:left="5947" w:hanging="360"/>
      </w:pPr>
    </w:lvl>
    <w:lvl w:ilvl="8" w:tplc="7C6A8564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3D43AAC"/>
    <w:multiLevelType w:val="hybridMultilevel"/>
    <w:tmpl w:val="47829E68"/>
    <w:lvl w:ilvl="0" w:tplc="9E0CC9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6AA11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36CB9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F9CC4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076E2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9686A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0B6A7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C28A3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D50E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6CC1792E"/>
    <w:multiLevelType w:val="hybridMultilevel"/>
    <w:tmpl w:val="4DE023A0"/>
    <w:lvl w:ilvl="0" w:tplc="0B82BEE8">
      <w:start w:val="1"/>
      <w:numFmt w:val="decimal"/>
      <w:lvlText w:val="%1."/>
      <w:lvlJc w:val="left"/>
      <w:pPr>
        <w:ind w:left="720" w:hanging="360"/>
      </w:pPr>
    </w:lvl>
    <w:lvl w:ilvl="1" w:tplc="6AD4DDDA">
      <w:start w:val="1"/>
      <w:numFmt w:val="lowerLetter"/>
      <w:lvlText w:val="%2."/>
      <w:lvlJc w:val="left"/>
      <w:pPr>
        <w:ind w:left="1440" w:hanging="360"/>
      </w:pPr>
    </w:lvl>
    <w:lvl w:ilvl="2" w:tplc="80A48E72">
      <w:start w:val="1"/>
      <w:numFmt w:val="lowerRoman"/>
      <w:lvlText w:val="%3."/>
      <w:lvlJc w:val="right"/>
      <w:pPr>
        <w:ind w:left="2160" w:hanging="180"/>
      </w:pPr>
    </w:lvl>
    <w:lvl w:ilvl="3" w:tplc="53EAADAC">
      <w:start w:val="1"/>
      <w:numFmt w:val="decimal"/>
      <w:lvlText w:val="%4."/>
      <w:lvlJc w:val="left"/>
      <w:pPr>
        <w:ind w:left="2880" w:hanging="360"/>
      </w:pPr>
    </w:lvl>
    <w:lvl w:ilvl="4" w:tplc="26CA89CA">
      <w:start w:val="1"/>
      <w:numFmt w:val="lowerLetter"/>
      <w:lvlText w:val="%5."/>
      <w:lvlJc w:val="left"/>
      <w:pPr>
        <w:ind w:left="3600" w:hanging="360"/>
      </w:pPr>
    </w:lvl>
    <w:lvl w:ilvl="5" w:tplc="6A5EF4D8">
      <w:start w:val="1"/>
      <w:numFmt w:val="lowerRoman"/>
      <w:lvlText w:val="%6."/>
      <w:lvlJc w:val="right"/>
      <w:pPr>
        <w:ind w:left="4320" w:hanging="180"/>
      </w:pPr>
    </w:lvl>
    <w:lvl w:ilvl="6" w:tplc="C352BC82">
      <w:start w:val="1"/>
      <w:numFmt w:val="decimal"/>
      <w:lvlText w:val="%7."/>
      <w:lvlJc w:val="left"/>
      <w:pPr>
        <w:ind w:left="5040" w:hanging="360"/>
      </w:pPr>
    </w:lvl>
    <w:lvl w:ilvl="7" w:tplc="72523388">
      <w:start w:val="1"/>
      <w:numFmt w:val="lowerLetter"/>
      <w:lvlText w:val="%8."/>
      <w:lvlJc w:val="left"/>
      <w:pPr>
        <w:ind w:left="5760" w:hanging="360"/>
      </w:pPr>
    </w:lvl>
    <w:lvl w:ilvl="8" w:tplc="5BFC420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F5AAC"/>
    <w:multiLevelType w:val="hybridMultilevel"/>
    <w:tmpl w:val="700883E6"/>
    <w:lvl w:ilvl="0" w:tplc="759AF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F83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7A33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BE6C5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50AE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CA6A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967A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C8AA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7AB2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0E303B4"/>
    <w:multiLevelType w:val="hybridMultilevel"/>
    <w:tmpl w:val="6BA0638A"/>
    <w:lvl w:ilvl="0" w:tplc="2402B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F7CE01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DB387C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8867B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7BE82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0C413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61A90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310A4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1BE1F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FC5"/>
    <w:rsid w:val="001921E7"/>
    <w:rsid w:val="00270FC5"/>
    <w:rsid w:val="0077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C5"/>
    <w:rPr>
      <w:sz w:val="24"/>
      <w:szCs w:val="24"/>
    </w:rPr>
  </w:style>
  <w:style w:type="paragraph" w:styleId="3">
    <w:name w:val="heading 3"/>
    <w:basedOn w:val="a"/>
    <w:qFormat/>
    <w:rsid w:val="00270F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70FC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270FC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70FC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270FC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70FC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270FC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70FC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270FC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70FC5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270FC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70FC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270FC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70FC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270FC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70FC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270FC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70FC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270FC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70F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70FC5"/>
    <w:rPr>
      <w:lang w:eastAsia="zh-CN"/>
    </w:rPr>
  </w:style>
  <w:style w:type="paragraph" w:styleId="a5">
    <w:name w:val="Title"/>
    <w:basedOn w:val="a"/>
    <w:link w:val="a6"/>
    <w:uiPriority w:val="10"/>
    <w:qFormat/>
    <w:rsid w:val="00270FC5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270FC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70FC5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270FC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70FC5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270FC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70FC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270FC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70FC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70FC5"/>
  </w:style>
  <w:style w:type="paragraph" w:customStyle="1" w:styleId="Footer">
    <w:name w:val="Footer"/>
    <w:basedOn w:val="a"/>
    <w:link w:val="CaptionChar"/>
    <w:uiPriority w:val="99"/>
    <w:unhideWhenUsed/>
    <w:rsid w:val="00270FC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270FC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70FC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270FC5"/>
  </w:style>
  <w:style w:type="table" w:styleId="ab">
    <w:name w:val="Table Grid"/>
    <w:basedOn w:val="a1"/>
    <w:rsid w:val="00270F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70FC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70FC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270FC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70F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70F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70F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70F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70F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70F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70F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70FC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70FC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70FC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70FC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70FC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70FC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70FC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70F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270FC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70FC5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270FC5"/>
    <w:rPr>
      <w:sz w:val="18"/>
    </w:rPr>
  </w:style>
  <w:style w:type="character" w:styleId="af">
    <w:name w:val="footnote reference"/>
    <w:uiPriority w:val="99"/>
    <w:unhideWhenUsed/>
    <w:rsid w:val="00270FC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70FC5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270FC5"/>
    <w:rPr>
      <w:sz w:val="20"/>
    </w:rPr>
  </w:style>
  <w:style w:type="character" w:styleId="af2">
    <w:name w:val="endnote reference"/>
    <w:uiPriority w:val="99"/>
    <w:semiHidden/>
    <w:unhideWhenUsed/>
    <w:rsid w:val="00270FC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70FC5"/>
    <w:pPr>
      <w:spacing w:after="57"/>
    </w:pPr>
  </w:style>
  <w:style w:type="paragraph" w:styleId="21">
    <w:name w:val="toc 2"/>
    <w:basedOn w:val="a"/>
    <w:next w:val="a"/>
    <w:uiPriority w:val="39"/>
    <w:unhideWhenUsed/>
    <w:rsid w:val="00270FC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70FC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70FC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70FC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70FC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70FC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70FC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70FC5"/>
    <w:pPr>
      <w:spacing w:after="57"/>
      <w:ind w:left="2268"/>
    </w:pPr>
  </w:style>
  <w:style w:type="paragraph" w:styleId="af3">
    <w:name w:val="TOC Heading"/>
    <w:uiPriority w:val="39"/>
    <w:unhideWhenUsed/>
    <w:rsid w:val="00270FC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270FC5"/>
  </w:style>
  <w:style w:type="paragraph" w:styleId="af5">
    <w:name w:val="Balloon Text"/>
    <w:basedOn w:val="a"/>
    <w:semiHidden/>
    <w:rsid w:val="00270FC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270FC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270FC5"/>
    <w:pPr>
      <w:spacing w:after="120"/>
    </w:pPr>
  </w:style>
  <w:style w:type="paragraph" w:styleId="af8">
    <w:name w:val="Normal (Web)"/>
    <w:basedOn w:val="a"/>
    <w:uiPriority w:val="99"/>
    <w:rsid w:val="00270FC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0FC5"/>
  </w:style>
  <w:style w:type="character" w:customStyle="1" w:styleId="visited">
    <w:name w:val="visited"/>
    <w:basedOn w:val="a0"/>
    <w:rsid w:val="00270FC5"/>
  </w:style>
  <w:style w:type="character" w:customStyle="1" w:styleId="blk">
    <w:name w:val="blk"/>
    <w:basedOn w:val="a0"/>
    <w:rsid w:val="00270FC5"/>
  </w:style>
  <w:style w:type="character" w:customStyle="1" w:styleId="match">
    <w:name w:val="match"/>
    <w:basedOn w:val="a0"/>
    <w:rsid w:val="00270FC5"/>
  </w:style>
  <w:style w:type="paragraph" w:customStyle="1" w:styleId="formattexttopleveltext">
    <w:name w:val="formattext topleveltext"/>
    <w:basedOn w:val="a"/>
    <w:rsid w:val="00270FC5"/>
    <w:pPr>
      <w:spacing w:before="100" w:beforeAutospacing="1" w:after="100" w:afterAutospacing="1"/>
    </w:pPr>
  </w:style>
  <w:style w:type="paragraph" w:styleId="22">
    <w:name w:val="Body Text Indent 2"/>
    <w:basedOn w:val="a"/>
    <w:rsid w:val="00270FC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70FC5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270F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70FC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270FC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270FC5"/>
    <w:rPr>
      <w:b/>
      <w:bCs/>
    </w:rPr>
  </w:style>
  <w:style w:type="character" w:styleId="afb">
    <w:name w:val="Emphasis"/>
    <w:uiPriority w:val="20"/>
    <w:qFormat/>
    <w:rsid w:val="00270F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3924</Characters>
  <Application>Microsoft Office Word</Application>
  <DocSecurity>0</DocSecurity>
  <Lines>32</Lines>
  <Paragraphs>9</Paragraphs>
  <ScaleCrop>false</ScaleCrop>
  <Company>Microsoft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2025-01-23T08:39:00Z</dcterms:modified>
  <cp:version>917504</cp:version>
</cp:coreProperties>
</file>