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1A57DC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A57DC">
        <w:rPr>
          <w:rFonts w:ascii="Segoe UI" w:hAnsi="Segoe UI" w:cs="Segoe UI"/>
          <w:b/>
          <w:noProof/>
          <w:sz w:val="28"/>
        </w:rPr>
        <w:t>Как переоформить долю в парковке на машино-место?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Машино-место как вид недвижимости появилось в российском законодательстве в 2017 году. До этого времени сведения о машино-местах вносились в Единый государственный реестр недвижимости в виде доли в нежилом здании или помещении. На сегодняшний день зарегистрировано 16785 прав на машино-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места в Новосибирской области. 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Законодательством предусмотрена процедура преобразования долевой собственности в машино-места для собственников, оформивших свое право до 1 января 2017 года. 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государственной регистрации права собственности на машино-место необходимо: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заявление о государственном кадастровом учете и государственной регистрации прав на машино-места;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технический план машино-места, его готовит кадастровый инженер;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соглашение всех сособственников объекта или решение общего собрания, определяющие порядок пользования недвижимым имуществом, находящимся в общей долевой собственности;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отсутствии соглашения или решения - согласие всех сособственников на выдел в натуре доли заявителя.</w:t>
      </w:r>
    </w:p>
    <w:p w:rsidR="001A57DC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этом требуется регистрация доли всех участников долевой собственности на нежилое здание или помещение.</w:t>
      </w:r>
    </w:p>
    <w:p w:rsidR="00FB3C30" w:rsidRDefault="001A57DC" w:rsidP="001A57D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  <w:r w:rsidRPr="001A57D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Размер государственной пошлины за государственную регистрацию права на машино-место составляет 2 000 рублей.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1A57DC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783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D149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91" w:rsidRDefault="008D1491" w:rsidP="00747FDB">
      <w:pPr>
        <w:spacing w:after="0" w:line="240" w:lineRule="auto"/>
      </w:pPr>
      <w:r>
        <w:separator/>
      </w:r>
    </w:p>
  </w:endnote>
  <w:endnote w:type="continuationSeparator" w:id="0">
    <w:p w:rsidR="008D1491" w:rsidRDefault="008D149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91" w:rsidRDefault="008D1491" w:rsidP="00747FDB">
      <w:pPr>
        <w:spacing w:after="0" w:line="240" w:lineRule="auto"/>
      </w:pPr>
      <w:r>
        <w:separator/>
      </w:r>
    </w:p>
  </w:footnote>
  <w:footnote w:type="continuationSeparator" w:id="0">
    <w:p w:rsidR="008D1491" w:rsidRDefault="008D149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A57D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D1491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0B08"/>
  <w15:docId w15:val="{55DD3FC1-EF65-43D3-9388-AB534366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2024-01-22T06:22:00Z</dcterms:modified>
</cp:coreProperties>
</file>