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E05C08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E05C08">
        <w:rPr>
          <w:rFonts w:ascii="Segoe UI" w:hAnsi="Segoe UI" w:cs="Segoe UI"/>
          <w:b/>
          <w:noProof/>
          <w:sz w:val="28"/>
        </w:rPr>
        <w:t>Новосибирский Росреестр подвел итоги «горячей» телефонной линии ко Дню юриста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E05C08" w:rsidRPr="00E05C08" w:rsidRDefault="00E05C08" w:rsidP="00E05C08">
      <w:pPr>
        <w:pStyle w:val="Standard"/>
        <w:tabs>
          <w:tab w:val="left" w:pos="756"/>
          <w:tab w:val="left" w:pos="852"/>
        </w:tabs>
        <w:ind w:firstLine="754"/>
        <w:jc w:val="both"/>
        <w:rPr>
          <w:rFonts w:ascii="Segoe UI" w:hAnsi="Segoe UI" w:cs="Segoe UI"/>
          <w:sz w:val="28"/>
          <w:szCs w:val="28"/>
        </w:rPr>
      </w:pPr>
      <w:r w:rsidRPr="00E05C08">
        <w:rPr>
          <w:rFonts w:ascii="Segoe UI" w:hAnsi="Segoe UI" w:cs="Segoe UI"/>
          <w:sz w:val="28"/>
          <w:szCs w:val="28"/>
        </w:rPr>
        <w:t>В честь Дня юриста 1 декабря в новосибирском Росреестре прошла «горячая» телефонная линия.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t xml:space="preserve">          Публикуем ответы на наиболее популярные вопросы.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  <w:t xml:space="preserve">          Как уплатить государственную пошлину за регистрацию права общей совместной собственности супругов?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t xml:space="preserve">          С заявлением о государственной регистрации права общей совместной собственности супругов может обратиться один из супругов, указав в заявлении о регистрации права сведения об обоих супругах. В таком случае государственную пошлину в полном размере уплачивает супруг, подавший заявление. 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t xml:space="preserve">          Если заявление о регистрации права общей совместной собственности представили об супруга, государственную пошлину они уплачивают пополам. Например, при регистрации права общей совместной собственности квартиры каждому из супругов следует уплатить по 1000 рублей.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  <w:t xml:space="preserve">          Как погасить запись об ипотеке, если организация - залогодержатель ликвидирована и правопреемников нет?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bCs/>
          <w:color w:val="464C55"/>
          <w:kern w:val="3"/>
          <w:sz w:val="28"/>
          <w:szCs w:val="28"/>
          <w:lang w:eastAsia="zh-CN" w:bidi="hi-IN"/>
        </w:rPr>
        <w:t xml:space="preserve">          </w:t>
      </w:r>
      <w:r w:rsidRPr="00E05C08">
        <w:rPr>
          <w:rFonts w:ascii="Segoe UI" w:eastAsia="Segoe UI" w:hAnsi="Segoe UI" w:cs="Segoe UI"/>
          <w:bCs/>
          <w:color w:val="000000"/>
          <w:kern w:val="3"/>
          <w:sz w:val="28"/>
          <w:szCs w:val="28"/>
          <w:lang w:eastAsia="zh-CN" w:bidi="hi-IN"/>
        </w:rPr>
        <w:t>В указанном случае законом предусмотрен особый порядок погашения в Едином государственном реестре недвижимости (ЕГРН) записи об ипотеке. При ликвидации залогодержателя, являющегося юридическим лицом, запись об ипотеке погашается на основании заявления залогодателя и выписки из единого государственного реестра юридических лиц, подтверждающей ликвидацию данного юридического лица.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  <w:t xml:space="preserve">         Если супруги купили квартиру в ипотеку, удостоверенную закладной, может ли один из супругов подать заявление о прекращении ипотеки?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t xml:space="preserve">         Если после погашения кредита банк выдал залогодателям документарную закладную с отметкой о полном исполнении обязательства, с заявлением о погашении регистрационной записи об ипотеке необходимо обратиться всем залогодателям. </w:t>
      </w:r>
    </w:p>
    <w:p w:rsidR="00E05C08" w:rsidRPr="00E05C08" w:rsidRDefault="00E05C08" w:rsidP="00E05C08">
      <w:pPr>
        <w:widowControl w:val="0"/>
        <w:tabs>
          <w:tab w:val="left" w:pos="709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t xml:space="preserve">         Когда собственниками квартиры и залогодателями по сведениям ЕГРН являются об супруга, заявление о погашении ипотеки </w:t>
      </w: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lastRenderedPageBreak/>
        <w:t>необходимо подать им обоим.  Подать заявления можно лично или через представителя, которому выдана нотариально удостоверенная доверенность.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E05C0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96D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56E0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E04" w:rsidRDefault="00D56E04" w:rsidP="00747FDB">
      <w:pPr>
        <w:spacing w:after="0" w:line="240" w:lineRule="auto"/>
      </w:pPr>
      <w:r>
        <w:separator/>
      </w:r>
    </w:p>
  </w:endnote>
  <w:endnote w:type="continuationSeparator" w:id="0">
    <w:p w:rsidR="00D56E04" w:rsidRDefault="00D56E0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E04" w:rsidRDefault="00D56E04" w:rsidP="00747FDB">
      <w:pPr>
        <w:spacing w:after="0" w:line="240" w:lineRule="auto"/>
      </w:pPr>
      <w:r>
        <w:separator/>
      </w:r>
    </w:p>
  </w:footnote>
  <w:footnote w:type="continuationSeparator" w:id="0">
    <w:p w:rsidR="00D56E04" w:rsidRDefault="00D56E0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56E04"/>
    <w:rsid w:val="00D65C8A"/>
    <w:rsid w:val="00D9604A"/>
    <w:rsid w:val="00DA7F89"/>
    <w:rsid w:val="00DD1B0C"/>
    <w:rsid w:val="00DE1EF3"/>
    <w:rsid w:val="00DE5CE2"/>
    <w:rsid w:val="00DF2633"/>
    <w:rsid w:val="00E018D4"/>
    <w:rsid w:val="00E05C08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5A23A"/>
  <w15:docId w15:val="{B1703AFE-3BA1-49C2-8173-6A6067D9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  <w:style w:type="paragraph" w:customStyle="1" w:styleId="Standard">
    <w:name w:val="Standard"/>
    <w:rsid w:val="00E05C0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2023-12-04T04:14:00Z</dcterms:modified>
</cp:coreProperties>
</file>