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9929DF" w:rsidP="009929DF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hAnsi="Segoe UI" w:cs="Segoe UI"/>
          <w:b/>
          <w:color w:val="000000"/>
          <w:sz w:val="28"/>
          <w:szCs w:val="28"/>
        </w:rPr>
      </w:pPr>
      <w:r w:rsidRPr="009929DF">
        <w:rPr>
          <w:rStyle w:val="apple-converted-space"/>
          <w:rFonts w:ascii="Segoe UI" w:hAnsi="Segoe UI" w:cs="Segoe UI"/>
          <w:b/>
          <w:color w:val="000000"/>
          <w:sz w:val="28"/>
          <w:szCs w:val="28"/>
        </w:rPr>
        <w:t xml:space="preserve">Площадь земель, находящихся в собственности </w:t>
      </w:r>
      <w:r w:rsidR="00E632FD">
        <w:rPr>
          <w:rStyle w:val="apple-converted-space"/>
          <w:rFonts w:ascii="Segoe UI" w:hAnsi="Segoe UI" w:cs="Segoe UI"/>
          <w:b/>
          <w:color w:val="000000"/>
          <w:sz w:val="28"/>
          <w:szCs w:val="28"/>
        </w:rPr>
        <w:t xml:space="preserve">граждан и </w:t>
      </w:r>
      <w:r w:rsidRPr="009929DF">
        <w:rPr>
          <w:rStyle w:val="apple-converted-space"/>
          <w:rFonts w:ascii="Segoe UI" w:hAnsi="Segoe UI" w:cs="Segoe UI"/>
          <w:b/>
          <w:color w:val="000000"/>
          <w:sz w:val="28"/>
          <w:szCs w:val="28"/>
        </w:rPr>
        <w:t xml:space="preserve">юридических лиц, </w:t>
      </w:r>
      <w:r w:rsidR="00F13CC6">
        <w:rPr>
          <w:rStyle w:val="apple-converted-space"/>
          <w:rFonts w:ascii="Segoe UI" w:hAnsi="Segoe UI" w:cs="Segoe UI"/>
          <w:b/>
          <w:color w:val="000000"/>
          <w:sz w:val="28"/>
          <w:szCs w:val="28"/>
        </w:rPr>
        <w:t xml:space="preserve">населенных пунктов, </w:t>
      </w:r>
      <w:r w:rsidRPr="009929DF">
        <w:rPr>
          <w:rStyle w:val="apple-converted-space"/>
          <w:rFonts w:ascii="Segoe UI" w:hAnsi="Segoe UI" w:cs="Segoe UI"/>
          <w:b/>
          <w:color w:val="000000"/>
          <w:sz w:val="28"/>
          <w:szCs w:val="28"/>
        </w:rPr>
        <w:t>промышленного и специального назначения, увеличилась</w:t>
      </w:r>
    </w:p>
    <w:p w:rsidR="009929DF" w:rsidRPr="00F13CC6" w:rsidRDefault="009929DF" w:rsidP="00F13CC6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b/>
          <w:color w:val="000000"/>
          <w:sz w:val="28"/>
          <w:szCs w:val="28"/>
        </w:rPr>
      </w:pPr>
    </w:p>
    <w:p w:rsidR="00F13CC6" w:rsidRDefault="003E2778" w:rsidP="00F13CC6">
      <w:pPr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13C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</w:t>
      </w:r>
      <w:r w:rsidR="00F13CC6" w:rsidRPr="00F13CC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За прошедший 2022 год площадь земель Новосибирской области в собственности юридических лиц и граждан, земель населенных пунктов, промышленности и иного специального назначения увеличилась. Однако увеличение не коснулось земель, находящихся в распоряжении государства и муниципальных образований, сельхозназначения и лесного фонда.</w:t>
      </w:r>
    </w:p>
    <w:p w:rsidR="00F13CC6" w:rsidRPr="00F13CC6" w:rsidRDefault="00F13CC6" w:rsidP="00F13CC6">
      <w:pPr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F13CC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Площадь земель, принадлежащая юридическим лицам, увеличилась на 19,3 тыс. га. Большая ее часть зарегистрирована в таких городах как, Обь, Новосибирск, Искитим, Бердск, в Барабинском, Сузунском, Тогучинском и Мошковском районах области.</w:t>
      </w:r>
    </w:p>
    <w:p w:rsidR="00F13CC6" w:rsidRDefault="00F13CC6" w:rsidP="00F13CC6">
      <w:pPr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13CC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Треть всех земель в Новосибирской области принадлежит гражданам и составляет 5467,5 тыс. га. Прирост составил 0,3 тыс. га.</w:t>
      </w:r>
      <w:r w:rsidRPr="00F13CC6">
        <w:rPr>
          <w:rFonts w:ascii="Segoe UI" w:hAnsi="Segoe UI" w:cs="Segoe UI"/>
          <w:color w:val="000000"/>
          <w:sz w:val="28"/>
          <w:szCs w:val="28"/>
        </w:rPr>
        <w:br/>
      </w:r>
      <w:r w:rsidRPr="00F13CC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Стоит отметить, что земля, которой распоряжается государство и муниципальные образования, за прошлый год уменьшилась на 19,6 тыс. га. Основная доля таких земель приходится на Северный, Колыванский, Кыштовский, Убинский районы, города Татарск, Барабинск и Куйбышев.</w:t>
      </w:r>
    </w:p>
    <w:p w:rsidR="00F13CC6" w:rsidRPr="00F13CC6" w:rsidRDefault="00F13CC6" w:rsidP="00F13CC6">
      <w:pPr>
        <w:jc w:val="both"/>
        <w:rPr>
          <w:rFonts w:ascii="Segoe UI" w:hAnsi="Segoe UI" w:cs="Segoe UI"/>
          <w:sz w:val="28"/>
          <w:szCs w:val="28"/>
        </w:rPr>
      </w:pPr>
      <w:r w:rsidRPr="00F13CC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Что касается населенных пунктов, то за год их площадь увеличилась на 0,2 тыс. га. Площадь городов и поселков городского типа составляет 128,1 тыс. га, сельских населенных пунктов — 140,6 тыс. га.</w:t>
      </w:r>
      <w:r w:rsidRPr="00F13CC6">
        <w:rPr>
          <w:rFonts w:ascii="Segoe UI" w:hAnsi="Segoe UI" w:cs="Segoe UI"/>
          <w:color w:val="000000"/>
          <w:sz w:val="28"/>
          <w:szCs w:val="28"/>
        </w:rPr>
        <w:br/>
      </w:r>
      <w:r w:rsidRPr="00F13CC6">
        <w:rPr>
          <w:rFonts w:ascii="Segoe UI" w:hAnsi="Segoe UI" w:cs="Segoe UI"/>
          <w:color w:val="000000"/>
          <w:sz w:val="28"/>
          <w:szCs w:val="28"/>
        </w:rPr>
        <w:br/>
      </w:r>
      <w:r w:rsidRPr="00F13CC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Общая площадь земель сельхозназначения в течение 2022 года снизилась на 0,5 тыс. га. В семнадцати районах области они были переведены в категории населенных пунктов и в земли промышленности и иного специального назначения. Теперь ее площадь составляет 11110,5 тыс. га.</w:t>
      </w:r>
      <w:r w:rsidRPr="00F13CC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br/>
      </w:r>
      <w:r w:rsidRPr="00F13CC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br/>
        <w:t>Земли лесного фонда составляют 4629,6 тыс. га (площадь не изменялась): лесные площади — 59,9%, болота — 36,5%. Остальная часть — сельхозугодья, земли под дорогами и др. Больше всего земель лесного фонда (67,2%) сосредоточено на севере области: в Колыванском, Кыштовском, Северном, Убинском районах.</w:t>
      </w:r>
      <w:r w:rsidRPr="00F13CC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br/>
        <w:t>С полным докладом за 2022 год можно ознакомиться в региональном блоке официального сайта Росреестра в сети Интернет </w:t>
      </w:r>
      <w:hyperlink r:id="rId8" w:tgtFrame="_blank" w:history="1">
        <w:r w:rsidRPr="00F13CC6">
          <w:rPr>
            <w:rStyle w:val="a3"/>
            <w:rFonts w:ascii="Segoe UI" w:hAnsi="Segoe UI" w:cs="Segoe UI"/>
            <w:sz w:val="28"/>
            <w:szCs w:val="28"/>
            <w:shd w:val="clear" w:color="auto" w:fill="FFFFFF"/>
          </w:rPr>
          <w:t>rosreestr.gov.ru</w:t>
        </w:r>
      </w:hyperlink>
      <w:r w:rsidRPr="00F13CC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, в разделе «Статистика и аналитика».</w:t>
      </w:r>
    </w:p>
    <w:p w:rsidR="003E2778" w:rsidRDefault="003E2778" w:rsidP="00F13C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D754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13CC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24371D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, </w:t>
      </w:r>
      <w:hyperlink r:id="rId15" w:history="1"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val="en-US" w:eastAsia="ru-RU"/>
          </w:rPr>
          <w:t>R</w:t>
        </w:r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utube</w:t>
        </w:r>
      </w:hyperlink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874" w:rsidRDefault="00AA4874" w:rsidP="00747FDB">
      <w:pPr>
        <w:spacing w:after="0" w:line="240" w:lineRule="auto"/>
      </w:pPr>
      <w:r>
        <w:separator/>
      </w:r>
    </w:p>
  </w:endnote>
  <w:endnote w:type="continuationSeparator" w:id="0">
    <w:p w:rsidR="00AA4874" w:rsidRDefault="00AA487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874" w:rsidRDefault="00AA4874" w:rsidP="00747FDB">
      <w:pPr>
        <w:spacing w:after="0" w:line="240" w:lineRule="auto"/>
      </w:pPr>
      <w:r>
        <w:separator/>
      </w:r>
    </w:p>
  </w:footnote>
  <w:footnote w:type="continuationSeparator" w:id="0">
    <w:p w:rsidR="00AA4874" w:rsidRDefault="00AA487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3A37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4371D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1377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0FE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929DF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95939"/>
    <w:rsid w:val="00AA2407"/>
    <w:rsid w:val="00AA4874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2FD"/>
    <w:rsid w:val="00E6331D"/>
    <w:rsid w:val="00E92F95"/>
    <w:rsid w:val="00EB0E09"/>
    <w:rsid w:val="00ED0AA3"/>
    <w:rsid w:val="00ED3003"/>
    <w:rsid w:val="00EE2314"/>
    <w:rsid w:val="00F04CB2"/>
    <w:rsid w:val="00F13CC6"/>
    <w:rsid w:val="00F21BF8"/>
    <w:rsid w:val="00F40EEE"/>
    <w:rsid w:val="00F44DDA"/>
    <w:rsid w:val="00F6719C"/>
    <w:rsid w:val="00F7512B"/>
    <w:rsid w:val="00F92787"/>
    <w:rsid w:val="00FA143B"/>
    <w:rsid w:val="00FA6455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B1942"/>
  <w15:docId w15:val="{48E7BD95-4332-41E2-AA46-4E596C654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rosreestr.gov.ru&amp;post=-118967869_2800&amp;cc_key=" TargetMode="External"/><Relationship Id="rId13" Type="http://schemas.openxmlformats.org/officeDocument/2006/relationships/hyperlink" Target="https://dzen.ru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tube.ru/channel/30410070/" TargetMode="Externa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kni</cp:lastModifiedBy>
  <cp:revision>14</cp:revision>
  <cp:lastPrinted>2022-01-19T07:30:00Z</cp:lastPrinted>
  <dcterms:created xsi:type="dcterms:W3CDTF">2023-04-24T06:32:00Z</dcterms:created>
  <dcterms:modified xsi:type="dcterms:W3CDTF">2023-07-14T02:05:00Z</dcterms:modified>
</cp:coreProperties>
</file>