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48" w:rsidRDefault="00BC0F4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B4B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A3A65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044B4B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44B4B" w:rsidRPr="00CA3A65" w:rsidRDefault="00044B4B" w:rsidP="00044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B4B" w:rsidRPr="00CA3A65" w:rsidRDefault="00044B4B" w:rsidP="00044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B4B" w:rsidRDefault="00044B4B" w:rsidP="00044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18.02.2022г                               </w:t>
      </w:r>
      <w:r w:rsidR="00752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7529D4">
        <w:rPr>
          <w:rFonts w:ascii="Times New Roman" w:hAnsi="Times New Roman" w:cs="Times New Roman"/>
          <w:sz w:val="28"/>
          <w:szCs w:val="28"/>
        </w:rPr>
        <w:t>46</w:t>
      </w:r>
    </w:p>
    <w:p w:rsidR="00B10BB2" w:rsidRPr="001F05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4B4B" w:rsidRPr="00044B4B" w:rsidRDefault="00044B4B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B4B">
        <w:rPr>
          <w:rFonts w:ascii="Times New Roman" w:hAnsi="Times New Roman" w:cs="Times New Roman"/>
          <w:sz w:val="28"/>
          <w:szCs w:val="28"/>
        </w:rPr>
        <w:t>ПОРЯДОК</w:t>
      </w:r>
    </w:p>
    <w:p w:rsidR="00044B4B" w:rsidRPr="00044B4B" w:rsidRDefault="00044B4B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B4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Новошарапского сельсовета Ордынского района Новосибирской области, должности руководителей муниципальных учреждений Новошарапского сельсовета Ордынского района Новосибирской области,</w:t>
      </w:r>
      <w:r w:rsidRPr="00044B4B">
        <w:rPr>
          <w:rFonts w:ascii="Times New Roman" w:hAnsi="Times New Roman" w:cs="Times New Roman"/>
          <w:i/>
          <w:sz w:val="28"/>
          <w:szCs w:val="28"/>
        </w:rPr>
        <w:t>,</w:t>
      </w:r>
      <w:r w:rsidRPr="00044B4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Новошарапского сельсовета Ордынского района Новосибирской области, и предоставления этих сведений общероссийским средствам массовой информации для опубликования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0C6AD9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P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</w:t>
      </w:r>
      <w:r w:rsidR="00044B4B" w:rsidRPr="00044B4B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044B4B" w:rsidRPr="00044B4B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области,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области, 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EB0829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Новошарапского сельсовета Ордынского района Новосибирской области в газете «Пресс-Бюллетень» </w:t>
      </w:r>
      <w:r w:rsidR="00A7347E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044B4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044B4B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Новошарапского сельсовета </w:t>
      </w:r>
    </w:p>
    <w:p w:rsidR="00044B4B" w:rsidRDefault="00044B4B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         Н.В.Хананова 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18CA" w:rsidRPr="00BB18CA" w:rsidRDefault="00044B4B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7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18.02.2022</w:t>
      </w:r>
      <w:r w:rsidR="00A7347E">
        <w:rPr>
          <w:rFonts w:ascii="Times New Roman" w:hAnsi="Times New Roman" w:cs="Times New Roman"/>
          <w:sz w:val="28"/>
          <w:szCs w:val="28"/>
        </w:rPr>
        <w:t xml:space="preserve"> № </w:t>
      </w:r>
      <w:r w:rsidR="007529D4">
        <w:rPr>
          <w:rFonts w:ascii="Times New Roman" w:hAnsi="Times New Roman" w:cs="Times New Roman"/>
          <w:sz w:val="28"/>
          <w:szCs w:val="28"/>
        </w:rPr>
        <w:t>46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и муниципальных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044B4B" w:rsidRPr="00044B4B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044B4B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044B4B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044B4B" w:rsidRPr="00044B4B">
        <w:rPr>
          <w:rFonts w:ascii="Times New Roman" w:hAnsi="Times New Roman" w:cs="Times New Roman"/>
          <w:sz w:val="28"/>
          <w:szCs w:val="28"/>
        </w:rPr>
        <w:t xml:space="preserve"> </w:t>
      </w:r>
      <w:r w:rsidR="00044B4B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044B4B">
        <w:rPr>
          <w:rFonts w:ascii="Times New Roman" w:hAnsi="Times New Roman" w:cs="Times New Roman"/>
          <w:sz w:val="28"/>
          <w:szCs w:val="28"/>
        </w:rPr>
        <w:t>п</w:t>
      </w:r>
      <w:r w:rsidR="00044B4B" w:rsidRPr="00044B4B">
        <w:rPr>
          <w:rFonts w:ascii="Times New Roman" w:hAnsi="Times New Roman" w:cs="Times New Roman"/>
          <w:sz w:val="28"/>
          <w:szCs w:val="28"/>
        </w:rPr>
        <w:t>остановлением администрации Новошарапского сельсовета Ордынского района Новосибирской области № 80 от 09.09.2021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доходах,об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891B6C" w:rsidRP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891B6C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89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B6C" w:rsidRPr="00DE1713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  <w:r w:rsidR="00891B6C" w:rsidRPr="00DE1713">
        <w:rPr>
          <w:rFonts w:ascii="Times New Roman" w:hAnsi="Times New Roman" w:cs="Times New Roman"/>
          <w:sz w:val="28"/>
          <w:szCs w:val="28"/>
        </w:rPr>
        <w:lastRenderedPageBreak/>
        <w:t>Ордынского района Новосибирской области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891B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26AB1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84AF3" w:rsidRPr="00891B6C">
        <w:rPr>
          <w:rFonts w:ascii="Times New Roman" w:hAnsi="Times New Roman" w:cs="Times New Roman"/>
          <w:sz w:val="28"/>
          <w:szCs w:val="28"/>
        </w:rPr>
        <w:t>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891B6C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891B6C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891B6C" w:rsidRPr="00891B6C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891B6C">
        <w:rPr>
          <w:rFonts w:ascii="Times New Roman" w:hAnsi="Times New Roman" w:cs="Times New Roman"/>
          <w:sz w:val="28"/>
          <w:szCs w:val="28"/>
        </w:rPr>
        <w:t>.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9EE" w:rsidRPr="00FF39EE">
        <w:rPr>
          <w:rFonts w:ascii="Times New Roman" w:hAnsi="Times New Roman" w:cs="Times New Roman"/>
          <w:sz w:val="28"/>
          <w:szCs w:val="28"/>
        </w:rPr>
        <w:t>главным бухгалтером МП ЖКХ Новошарапский сельсовет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органа местного самоуправления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7208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</w:t>
      </w:r>
      <w:r w:rsidR="00680830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680830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680830" w:rsidRP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680830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учреждения, в котором данное лицо замещает должность, и ежегодно обновляютсяв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лица/подразделения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680830" w:rsidRPr="00680830">
        <w:rPr>
          <w:rFonts w:ascii="Times New Roman" w:hAnsi="Times New Roman" w:cs="Times New Roman"/>
          <w:sz w:val="28"/>
          <w:szCs w:val="28"/>
        </w:rPr>
        <w:t xml:space="preserve"> </w:t>
      </w:r>
      <w:r w:rsidR="00680830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</w:t>
      </w:r>
      <w:r w:rsidR="00725429" w:rsidRPr="00CC187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226AB1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226AB1" w:rsidRPr="00226AB1">
        <w:rPr>
          <w:rFonts w:ascii="Times New Roman" w:hAnsi="Times New Roman" w:cs="Times New Roman"/>
          <w:sz w:val="28"/>
          <w:szCs w:val="28"/>
        </w:rPr>
        <w:t xml:space="preserve">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26AB1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226AB1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226AB1" w:rsidRPr="00DE1713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26AB1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432254" w:rsidP="00226A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7529D4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226AB1" w:rsidRPr="007529D4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9A7788" w:rsidRPr="00226AB1">
        <w:rPr>
          <w:rFonts w:ascii="Times New Roman" w:hAnsi="Times New Roman" w:cs="Times New Roman"/>
        </w:rPr>
        <w:t>(наименование муниципального образования),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служащихи членов их семей на официальных сайтах органов местного самоуправления </w:t>
            </w:r>
            <w:r w:rsidR="00226AB1" w:rsidRPr="00226AB1">
              <w:rPr>
                <w:rFonts w:ascii="Times New Roman" w:hAnsi="Times New Roman" w:cs="Times New Roman"/>
                <w:b/>
              </w:rPr>
              <w:t>Новошарапского сельсовета Ордынского района Новосибирской области</w:t>
            </w:r>
            <w:r w:rsidR="00226AB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226AB1">
          <w:pgSz w:w="16838" w:h="11906" w:orient="landscape" w:code="9"/>
          <w:pgMar w:top="851" w:right="1134" w:bottom="0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226AB1">
        <w:rPr>
          <w:rFonts w:ascii="Times New Roman" w:hAnsi="Times New Roman" w:cs="Times New Roman"/>
        </w:rPr>
        <w:t>,</w:t>
      </w:r>
      <w:r w:rsidR="00FF6719" w:rsidRPr="005C3696">
        <w:rPr>
          <w:rFonts w:ascii="Times New Roman" w:hAnsi="Times New Roman" w:cs="Times New Roman"/>
        </w:rPr>
        <w:t xml:space="preserve"> должности руководителей муниципальных учреждений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и членов их семей на официальных сайтах органов местного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226AB1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</w:t>
      </w:r>
      <w:r w:rsidR="000C5B8F" w:rsidRPr="00226AB1">
        <w:rPr>
          <w:rFonts w:ascii="Times New Roman" w:eastAsia="Calibri" w:hAnsi="Times New Roman" w:cs="Times New Roman"/>
          <w:b/>
        </w:rPr>
        <w:t xml:space="preserve">участия, паев в уставных (складочных) капиталах организаций), цифровых финансовых активов, цифровой валюты, </w:t>
      </w:r>
    </w:p>
    <w:p w:rsidR="00B17281" w:rsidRPr="00226AB1" w:rsidRDefault="00B17281" w:rsidP="00226AB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26AB1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226AB1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226AB1" w:rsidTr="00226AB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226AB1" w:rsidRDefault="00226AB1" w:rsidP="00226AB1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6AB1">
              <w:rPr>
                <w:rFonts w:ascii="Times New Roman" w:hAnsi="Times New Roman" w:cs="Times New Roman"/>
                <w:b/>
              </w:rPr>
              <w:t>Новошарапского сельсовета Ордынского района Новосибирской области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226AB1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226AB1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226AB1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226AB1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226AB1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абзаца второгочасти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226AB1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226AB1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226AB1">
        <w:rPr>
          <w:rFonts w:ascii="Times New Roman" w:hAnsi="Times New Roman" w:cs="Times New Roman"/>
          <w:b/>
        </w:rPr>
        <w:t>3</w:t>
      </w:r>
      <w:r w:rsidR="00FF6719" w:rsidRPr="00226AB1">
        <w:rPr>
          <w:rFonts w:ascii="Times New Roman" w:hAnsi="Times New Roman" w:cs="Times New Roman"/>
        </w:rPr>
        <w:t>к Порядку размещения с</w:t>
      </w:r>
      <w:r w:rsidR="00D7470F" w:rsidRPr="00226AB1">
        <w:rPr>
          <w:rFonts w:ascii="Times New Roman" w:hAnsi="Times New Roman" w:cs="Times New Roman"/>
        </w:rPr>
        <w:t>ведений о доходах, расходах, об </w:t>
      </w:r>
      <w:r w:rsidR="00FF6719" w:rsidRPr="00226AB1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226AB1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226AB1" w:rsidRPr="00226AB1">
        <w:rPr>
          <w:rFonts w:ascii="Times New Roman" w:hAnsi="Times New Roman" w:cs="Times New Roman"/>
        </w:rPr>
        <w:t>Новошарапского сельсовета Ордынского района Новосибирской области</w:t>
      </w:r>
      <w:r w:rsidR="00FF6719" w:rsidRPr="00226AB1">
        <w:rPr>
          <w:rFonts w:ascii="Times New Roman" w:hAnsi="Times New Roman" w:cs="Times New Roman"/>
          <w:i/>
        </w:rPr>
        <w:t>,</w:t>
      </w:r>
      <w:r w:rsidR="00FF6719" w:rsidRPr="00226AB1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</w:rPr>
        <w:t xml:space="preserve">Новошарапского сельсовета Ордынского района Новосибирской области </w:t>
      </w:r>
      <w:r w:rsidR="00FF6719" w:rsidRPr="00226AB1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r w:rsidR="00226AB1" w:rsidRPr="00226AB1">
        <w:rPr>
          <w:rFonts w:ascii="Times New Roman" w:hAnsi="Times New Roman" w:cs="Times New Roman"/>
          <w:b/>
        </w:rPr>
        <w:t>Новошарапского сельсовета Ордынского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26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42" w:rsidRDefault="00780542" w:rsidP="0042362A">
      <w:pPr>
        <w:spacing w:after="0" w:line="240" w:lineRule="auto"/>
      </w:pPr>
      <w:r>
        <w:separator/>
      </w:r>
    </w:p>
  </w:endnote>
  <w:endnote w:type="continuationSeparator" w:id="1">
    <w:p w:rsidR="00780542" w:rsidRDefault="00780542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42" w:rsidRDefault="00780542" w:rsidP="0042362A">
      <w:pPr>
        <w:spacing w:after="0" w:line="240" w:lineRule="auto"/>
      </w:pPr>
      <w:r>
        <w:separator/>
      </w:r>
    </w:p>
  </w:footnote>
  <w:footnote w:type="continuationSeparator" w:id="1">
    <w:p w:rsidR="00780542" w:rsidRDefault="00780542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6AB1" w:rsidRPr="0005177F" w:rsidRDefault="00226AB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29D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6AB1" w:rsidRDefault="00226AB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44B4B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26AB1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80830"/>
    <w:rsid w:val="00697D8B"/>
    <w:rsid w:val="006B5E91"/>
    <w:rsid w:val="006C4C90"/>
    <w:rsid w:val="006E1209"/>
    <w:rsid w:val="006E45C0"/>
    <w:rsid w:val="006E6D36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29D4"/>
    <w:rsid w:val="0075426A"/>
    <w:rsid w:val="0075693B"/>
    <w:rsid w:val="007571E2"/>
    <w:rsid w:val="00763782"/>
    <w:rsid w:val="00766533"/>
    <w:rsid w:val="007709D2"/>
    <w:rsid w:val="007714C9"/>
    <w:rsid w:val="0077591F"/>
    <w:rsid w:val="00780542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86C9D"/>
    <w:rsid w:val="00891904"/>
    <w:rsid w:val="00891B6C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39EE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 Windows</cp:lastModifiedBy>
  <cp:revision>58</cp:revision>
  <cp:lastPrinted>2022-02-18T05:19:00Z</cp:lastPrinted>
  <dcterms:created xsi:type="dcterms:W3CDTF">2022-01-28T10:15:00Z</dcterms:created>
  <dcterms:modified xsi:type="dcterms:W3CDTF">2022-02-18T05:21:00Z</dcterms:modified>
</cp:coreProperties>
</file>