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37" w:rsidRPr="00142537" w:rsidRDefault="00142537" w:rsidP="00142537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142537">
        <w:rPr>
          <w:rFonts w:ascii="Times New Roman" w:hAnsi="Times New Roman" w:cs="Times New Roman"/>
          <w:sz w:val="28"/>
        </w:rPr>
        <w:t xml:space="preserve">  АДМИНИСТРАЦИЯ НОВОШАРАПСКОГО СЕЛЬСОВЕТА</w:t>
      </w:r>
    </w:p>
    <w:p w:rsidR="00142537" w:rsidRPr="00142537" w:rsidRDefault="00142537" w:rsidP="00142537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142537"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142537" w:rsidRPr="00142537" w:rsidRDefault="00142537" w:rsidP="00142537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142537">
        <w:rPr>
          <w:rFonts w:ascii="Times New Roman" w:hAnsi="Times New Roman" w:cs="Times New Roman"/>
          <w:sz w:val="28"/>
        </w:rPr>
        <w:t>ПОСТАНОВЛЕНИЕ</w:t>
      </w:r>
    </w:p>
    <w:p w:rsidR="00142537" w:rsidRPr="00142537" w:rsidRDefault="00142537" w:rsidP="00142537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142537">
        <w:rPr>
          <w:rFonts w:ascii="Times New Roman" w:hAnsi="Times New Roman" w:cs="Times New Roman"/>
          <w:sz w:val="28"/>
        </w:rPr>
        <w:t xml:space="preserve">от 10 апреля </w:t>
      </w:r>
      <w:smartTag w:uri="urn:schemas-microsoft-com:office:smarttags" w:element="metricconverter">
        <w:smartTagPr>
          <w:attr w:name="ProductID" w:val="2013 г"/>
        </w:smartTagPr>
        <w:r w:rsidRPr="00142537">
          <w:rPr>
            <w:rFonts w:ascii="Times New Roman" w:hAnsi="Times New Roman" w:cs="Times New Roman"/>
            <w:sz w:val="28"/>
          </w:rPr>
          <w:t>2013 г</w:t>
        </w:r>
      </w:smartTag>
      <w:r w:rsidRPr="00142537">
        <w:rPr>
          <w:rFonts w:ascii="Times New Roman" w:hAnsi="Times New Roman" w:cs="Times New Roman"/>
          <w:sz w:val="28"/>
        </w:rPr>
        <w:t>. N 142</w:t>
      </w:r>
    </w:p>
    <w:p w:rsidR="00142537" w:rsidRPr="00142537" w:rsidRDefault="00142537" w:rsidP="001425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2537">
        <w:rPr>
          <w:rFonts w:ascii="Times New Roman" w:hAnsi="Times New Roman" w:cs="Times New Roman"/>
          <w:color w:val="000000"/>
        </w:rPr>
        <w:br/>
      </w:r>
      <w:r w:rsidRPr="00142537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оплате труда младшего обслуживающего персонала  по обеспечению деятельности органов местного самоуправления Новошарапского сельсовета</w:t>
      </w:r>
    </w:p>
    <w:p w:rsidR="00142537" w:rsidRPr="00142537" w:rsidRDefault="00142537" w:rsidP="001425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537">
        <w:rPr>
          <w:rFonts w:ascii="Times New Roman" w:hAnsi="Times New Roman" w:cs="Times New Roman"/>
          <w:color w:val="000000"/>
          <w:sz w:val="28"/>
          <w:szCs w:val="36"/>
        </w:rPr>
        <w:t xml:space="preserve">В целях упорядочения оплаты труда младшего обслуживающего персонала по обеспечению деятельности </w:t>
      </w:r>
      <w:r w:rsidRPr="00142537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Новошарапского сельсовета,</w:t>
      </w:r>
    </w:p>
    <w:p w:rsidR="00142537" w:rsidRPr="00142537" w:rsidRDefault="00142537" w:rsidP="00142537">
      <w:pPr>
        <w:ind w:firstLine="720"/>
        <w:rPr>
          <w:rFonts w:ascii="Times New Roman" w:hAnsi="Times New Roman" w:cs="Times New Roman"/>
          <w:color w:val="000000"/>
          <w:sz w:val="28"/>
          <w:szCs w:val="36"/>
        </w:rPr>
      </w:pPr>
      <w:r w:rsidRPr="00142537">
        <w:rPr>
          <w:rFonts w:ascii="Times New Roman" w:hAnsi="Times New Roman" w:cs="Times New Roman"/>
          <w:color w:val="000000"/>
          <w:sz w:val="28"/>
          <w:szCs w:val="36"/>
        </w:rPr>
        <w:t>ПОСТАНОВЛЯЮ: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537">
        <w:rPr>
          <w:rFonts w:ascii="Times New Roman" w:hAnsi="Times New Roman" w:cs="Times New Roman"/>
          <w:color w:val="000000"/>
          <w:sz w:val="28"/>
        </w:rPr>
        <w:t xml:space="preserve">          </w:t>
      </w:r>
      <w:r w:rsidRPr="00142537">
        <w:rPr>
          <w:rFonts w:ascii="Times New Roman" w:hAnsi="Times New Roman" w:cs="Times New Roman"/>
          <w:color w:val="000000"/>
          <w:sz w:val="28"/>
          <w:szCs w:val="36"/>
        </w:rPr>
        <w:t xml:space="preserve">1. Утвердить прилагаемое Положение об оплате труда младшего обслуживающего персонала </w:t>
      </w:r>
      <w:r w:rsidRPr="00142537">
        <w:rPr>
          <w:rFonts w:ascii="Times New Roman" w:hAnsi="Times New Roman" w:cs="Times New Roman"/>
          <w:color w:val="000000"/>
          <w:sz w:val="28"/>
          <w:szCs w:val="28"/>
        </w:rPr>
        <w:t>по обеспечению деятельности органов местного самоуправления Новошарапского сельсовета.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537">
        <w:rPr>
          <w:rFonts w:ascii="Times New Roman" w:hAnsi="Times New Roman" w:cs="Times New Roman"/>
          <w:color w:val="000000"/>
          <w:sz w:val="28"/>
          <w:szCs w:val="28"/>
        </w:rPr>
        <w:t xml:space="preserve">         2. Производить оплату труда младшего обслуживающего персонала  по обеспечению деятельности органов местного самоуправления Новошарапского сельсовета</w:t>
      </w:r>
      <w:r w:rsidRPr="00142537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труда, установленного на текущий финансовый год. </w:t>
      </w:r>
    </w:p>
    <w:p w:rsidR="00142537" w:rsidRPr="00142537" w:rsidRDefault="00142537" w:rsidP="00142537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537">
        <w:rPr>
          <w:rFonts w:ascii="Times New Roman" w:hAnsi="Times New Roman" w:cs="Times New Roman"/>
          <w:color w:val="000000"/>
          <w:sz w:val="28"/>
          <w:szCs w:val="36"/>
        </w:rPr>
        <w:t xml:space="preserve">3. </w:t>
      </w:r>
      <w:r w:rsidRPr="00142537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оплата труда рабочих профессий в органах местного самоуправления Новошарапского сельсовета осуществляется в соответствии с Постановлением правительства </w:t>
      </w:r>
      <w:r w:rsidRPr="00142537">
        <w:rPr>
          <w:rFonts w:ascii="Times New Roman" w:hAnsi="Times New Roman" w:cs="Times New Roman"/>
          <w:sz w:val="28"/>
        </w:rPr>
        <w:t xml:space="preserve"> Новосибирской области от 18.02.2013 года № 58-п «О повышении </w:t>
      </w:r>
      <w:proofErr w:type="gramStart"/>
      <w:r w:rsidRPr="00142537">
        <w:rPr>
          <w:rFonts w:ascii="Times New Roman" w:hAnsi="Times New Roman" w:cs="Times New Roman"/>
          <w:sz w:val="28"/>
        </w:rPr>
        <w:t>оплаты труда работников государственных учреждений Новосибирской области</w:t>
      </w:r>
      <w:proofErr w:type="gramEnd"/>
      <w:r w:rsidRPr="00142537">
        <w:rPr>
          <w:rFonts w:ascii="Times New Roman" w:hAnsi="Times New Roman" w:cs="Times New Roman"/>
          <w:sz w:val="28"/>
        </w:rPr>
        <w:t>»</w:t>
      </w:r>
      <w:r w:rsidRPr="001425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2537" w:rsidRPr="00142537" w:rsidRDefault="00142537" w:rsidP="00142537">
      <w:pPr>
        <w:ind w:left="100" w:firstLine="7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537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 с 01 марта 2013 года.</w:t>
      </w: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2537" w:rsidRPr="00142537" w:rsidRDefault="00142537" w:rsidP="00142537">
      <w:pPr>
        <w:tabs>
          <w:tab w:val="left" w:pos="7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 xml:space="preserve">Глава Новошарапского сельсовет                                                       </w:t>
      </w:r>
      <w:proofErr w:type="spellStart"/>
      <w:r w:rsidRPr="00142537">
        <w:rPr>
          <w:rFonts w:ascii="Times New Roman" w:hAnsi="Times New Roman" w:cs="Times New Roman"/>
          <w:sz w:val="28"/>
          <w:szCs w:val="28"/>
        </w:rPr>
        <w:t>В.В.Эллерт</w:t>
      </w:r>
      <w:proofErr w:type="spellEnd"/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  <w:szCs w:val="20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0"/>
        <w:gridCol w:w="4841"/>
      </w:tblGrid>
      <w:tr w:rsidR="00142537" w:rsidRPr="00142537" w:rsidTr="00142537">
        <w:tc>
          <w:tcPr>
            <w:tcW w:w="5068" w:type="dxa"/>
          </w:tcPr>
          <w:p w:rsidR="00142537" w:rsidRPr="00142537" w:rsidRDefault="00142537">
            <w:pPr>
              <w:tabs>
                <w:tab w:val="left" w:pos="81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142537" w:rsidRPr="00142537" w:rsidRDefault="00142537">
            <w:pPr>
              <w:tabs>
                <w:tab w:val="left" w:pos="8100"/>
              </w:tabs>
              <w:jc w:val="right"/>
              <w:rPr>
                <w:sz w:val="22"/>
                <w:szCs w:val="22"/>
              </w:rPr>
            </w:pPr>
            <w:r w:rsidRPr="00142537">
              <w:rPr>
                <w:sz w:val="22"/>
                <w:szCs w:val="22"/>
              </w:rPr>
              <w:t>УТВЕРЖДЕНО</w:t>
            </w:r>
          </w:p>
          <w:p w:rsidR="00142537" w:rsidRPr="00142537" w:rsidRDefault="00142537">
            <w:pPr>
              <w:tabs>
                <w:tab w:val="left" w:pos="8100"/>
              </w:tabs>
              <w:jc w:val="right"/>
              <w:rPr>
                <w:sz w:val="22"/>
                <w:szCs w:val="22"/>
              </w:rPr>
            </w:pPr>
            <w:r w:rsidRPr="00142537">
              <w:rPr>
                <w:sz w:val="22"/>
                <w:szCs w:val="22"/>
              </w:rPr>
              <w:t xml:space="preserve">Постановлением Главы </w:t>
            </w:r>
          </w:p>
          <w:p w:rsidR="00142537" w:rsidRPr="00142537" w:rsidRDefault="00142537">
            <w:pPr>
              <w:tabs>
                <w:tab w:val="left" w:pos="8100"/>
              </w:tabs>
              <w:jc w:val="right"/>
              <w:rPr>
                <w:sz w:val="22"/>
                <w:szCs w:val="22"/>
              </w:rPr>
            </w:pPr>
            <w:r w:rsidRPr="00142537">
              <w:rPr>
                <w:sz w:val="22"/>
                <w:szCs w:val="22"/>
              </w:rPr>
              <w:t xml:space="preserve">Новошарапского сельсовета </w:t>
            </w:r>
          </w:p>
          <w:p w:rsidR="00142537" w:rsidRPr="00142537" w:rsidRDefault="00142537">
            <w:pPr>
              <w:tabs>
                <w:tab w:val="left" w:pos="8100"/>
              </w:tabs>
              <w:jc w:val="right"/>
              <w:rPr>
                <w:sz w:val="22"/>
                <w:szCs w:val="22"/>
              </w:rPr>
            </w:pPr>
            <w:r w:rsidRPr="00142537">
              <w:rPr>
                <w:sz w:val="22"/>
                <w:szCs w:val="22"/>
              </w:rPr>
              <w:t>От 10 марта 2013   № 142</w:t>
            </w:r>
          </w:p>
          <w:p w:rsidR="00142537" w:rsidRPr="00142537" w:rsidRDefault="00142537">
            <w:pPr>
              <w:tabs>
                <w:tab w:val="left" w:pos="8100"/>
              </w:tabs>
              <w:jc w:val="right"/>
              <w:rPr>
                <w:sz w:val="22"/>
                <w:szCs w:val="22"/>
              </w:rPr>
            </w:pPr>
            <w:r w:rsidRPr="00142537">
              <w:rPr>
                <w:sz w:val="22"/>
                <w:szCs w:val="22"/>
              </w:rPr>
              <w:t xml:space="preserve">     </w:t>
            </w:r>
          </w:p>
          <w:p w:rsidR="00142537" w:rsidRPr="00142537" w:rsidRDefault="00142537">
            <w:pPr>
              <w:tabs>
                <w:tab w:val="left" w:pos="8100"/>
              </w:tabs>
              <w:jc w:val="both"/>
              <w:rPr>
                <w:sz w:val="22"/>
                <w:szCs w:val="22"/>
              </w:rPr>
            </w:pPr>
          </w:p>
          <w:p w:rsidR="00142537" w:rsidRPr="00142537" w:rsidRDefault="00142537">
            <w:pPr>
              <w:tabs>
                <w:tab w:val="left" w:pos="8100"/>
              </w:tabs>
              <w:jc w:val="center"/>
              <w:rPr>
                <w:b/>
                <w:szCs w:val="28"/>
              </w:rPr>
            </w:pPr>
          </w:p>
          <w:p w:rsidR="00142537" w:rsidRPr="00142537" w:rsidRDefault="00142537">
            <w:pPr>
              <w:tabs>
                <w:tab w:val="left" w:pos="8100"/>
              </w:tabs>
              <w:jc w:val="both"/>
              <w:rPr>
                <w:sz w:val="22"/>
                <w:szCs w:val="22"/>
              </w:rPr>
            </w:pPr>
            <w:r w:rsidRPr="00142537">
              <w:rPr>
                <w:sz w:val="22"/>
                <w:szCs w:val="22"/>
              </w:rPr>
              <w:t xml:space="preserve">                                                       </w:t>
            </w:r>
          </w:p>
        </w:tc>
      </w:tr>
    </w:tbl>
    <w:p w:rsidR="00142537" w:rsidRPr="00142537" w:rsidRDefault="00142537" w:rsidP="00142537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253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2537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142537" w:rsidRPr="00142537" w:rsidRDefault="00142537" w:rsidP="00142537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37">
        <w:rPr>
          <w:rFonts w:ascii="Times New Roman" w:hAnsi="Times New Roman" w:cs="Times New Roman"/>
          <w:b/>
          <w:sz w:val="28"/>
          <w:szCs w:val="28"/>
        </w:rPr>
        <w:t>Об оплате труда младшего обслуживающего персонала  по обеспечению</w:t>
      </w:r>
    </w:p>
    <w:p w:rsidR="00142537" w:rsidRPr="00142537" w:rsidRDefault="00142537" w:rsidP="00142537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37">
        <w:rPr>
          <w:rFonts w:ascii="Times New Roman" w:hAnsi="Times New Roman" w:cs="Times New Roman"/>
          <w:b/>
          <w:sz w:val="28"/>
          <w:szCs w:val="28"/>
        </w:rPr>
        <w:t>деятельности органов местного самоуправления Новошарапского  сельсовета</w:t>
      </w:r>
    </w:p>
    <w:p w:rsidR="00142537" w:rsidRPr="00142537" w:rsidRDefault="00142537" w:rsidP="00142537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37" w:rsidRPr="00142537" w:rsidRDefault="00142537" w:rsidP="00142537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37" w:rsidRPr="00142537" w:rsidRDefault="00142537" w:rsidP="00142537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3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42537" w:rsidRPr="00142537" w:rsidRDefault="00142537" w:rsidP="00142537">
      <w:pPr>
        <w:tabs>
          <w:tab w:val="left" w:pos="810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37" w:rsidRPr="00142537" w:rsidRDefault="00142537" w:rsidP="00142537">
      <w:pPr>
        <w:tabs>
          <w:tab w:val="left" w:pos="81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lastRenderedPageBreak/>
        <w:t>1.1. </w:t>
      </w:r>
      <w:proofErr w:type="gramStart"/>
      <w:r w:rsidRPr="0014253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 кодексом Российской Федерации, постановлениями Губернатора Новосибирской области от 28.01.2008 № 20 «О введении отраслевых систем оплаты труда работников областных государственных учреждений», от 17.05.2007 № 206 «Об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области».</w:t>
      </w:r>
      <w:proofErr w:type="gramEnd"/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1.2. Оплата труда рабочих, занятых в органах местного самоуправления осуществляется на основе окладов, выплат компенсационного и стимулирующего характера.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 xml:space="preserve">К выплатам  компенсационного характера относятся доплаты </w:t>
      </w:r>
      <w:proofErr w:type="gramStart"/>
      <w:r w:rsidRPr="001425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42537">
        <w:rPr>
          <w:rFonts w:ascii="Times New Roman" w:hAnsi="Times New Roman" w:cs="Times New Roman"/>
          <w:sz w:val="28"/>
          <w:szCs w:val="28"/>
        </w:rPr>
        <w:t>: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 xml:space="preserve">- работу в ночное время; 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- работу в выходные и нерабочие праздничные дни;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- сверхурочную работу.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 xml:space="preserve">К выплатам стимулирующего характера относятся надбавки </w:t>
      </w:r>
      <w:proofErr w:type="gramStart"/>
      <w:r w:rsidRPr="001425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42537">
        <w:rPr>
          <w:rFonts w:ascii="Times New Roman" w:hAnsi="Times New Roman" w:cs="Times New Roman"/>
          <w:sz w:val="28"/>
          <w:szCs w:val="28"/>
        </w:rPr>
        <w:t>: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 xml:space="preserve">- качественные показатели деятельности рабочих; 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- премии по результатам работы;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- продолжительность непрерывной работы;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- единовременная выплата  при предоставлении  ежегодного  оплачиваемого отпуска  и материальная помощь.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1.3. На оклад, компенсационные и стимулирующие выплаты начисляется районный коэффициент.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142537" w:rsidP="001425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37" w:rsidRPr="00142537" w:rsidRDefault="00142537" w:rsidP="001425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37">
        <w:rPr>
          <w:rFonts w:ascii="Times New Roman" w:hAnsi="Times New Roman" w:cs="Times New Roman"/>
          <w:b/>
          <w:sz w:val="28"/>
          <w:szCs w:val="28"/>
        </w:rPr>
        <w:lastRenderedPageBreak/>
        <w:t>2. Размеры окладов рабочих</w:t>
      </w:r>
    </w:p>
    <w:p w:rsidR="00142537" w:rsidRPr="00142537" w:rsidRDefault="00142537" w:rsidP="001425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7"/>
        <w:gridCol w:w="6903"/>
        <w:gridCol w:w="1897"/>
      </w:tblGrid>
      <w:tr w:rsidR="00142537" w:rsidRPr="00142537" w:rsidTr="00142537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425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4253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425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 и характеристика работ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b/>
                <w:sz w:val="28"/>
                <w:szCs w:val="28"/>
              </w:rPr>
              <w:t>Размер оклада, руб.</w:t>
            </w:r>
          </w:p>
        </w:tc>
      </w:tr>
      <w:tr w:rsidR="00142537" w:rsidRPr="00142537" w:rsidTr="00142537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37" w:rsidRPr="00142537" w:rsidRDefault="00142537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Уборщик служебных помещений:</w:t>
            </w:r>
          </w:p>
          <w:p w:rsidR="00142537" w:rsidRPr="00142537" w:rsidRDefault="001425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i/>
                <w:sz w:val="28"/>
                <w:szCs w:val="28"/>
              </w:rPr>
              <w:t>1 разряда - у</w:t>
            </w: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борка холлов, вестибюлей, коридоров, 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Удаление пыли с потолка, влажная протирка стен, дверей, плафонов, подоконников, оконных решеток. Подметание и мытье площадки перед входом в подъезд. Уборка снега в зимнее время перед входом в административное здание.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</w:t>
            </w:r>
          </w:p>
          <w:p w:rsidR="00142537" w:rsidRPr="00142537" w:rsidRDefault="001425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разряда -  </w:t>
            </w: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при осуществлении уборки туалетов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37" w:rsidRPr="00142537" w:rsidRDefault="00142537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3472,86</w:t>
            </w: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3608,75</w:t>
            </w:r>
          </w:p>
        </w:tc>
      </w:tr>
    </w:tbl>
    <w:p w:rsidR="00142537" w:rsidRPr="00142537" w:rsidRDefault="00142537" w:rsidP="001425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37" w:rsidRPr="00142537" w:rsidRDefault="00142537" w:rsidP="001425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37">
        <w:rPr>
          <w:rFonts w:ascii="Times New Roman" w:hAnsi="Times New Roman" w:cs="Times New Roman"/>
          <w:b/>
          <w:sz w:val="28"/>
          <w:szCs w:val="28"/>
        </w:rPr>
        <w:t>3. Размеры выплат компенсационного характера</w:t>
      </w:r>
    </w:p>
    <w:p w:rsidR="00142537" w:rsidRPr="00142537" w:rsidRDefault="00142537" w:rsidP="001425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lastRenderedPageBreak/>
        <w:t>3.1. Размеры доплат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3.2. Размер доплаты за работу в ночное время составляет 35 процентов оклада.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3.3. 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кодексом Российской Федерации.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3.4. 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142537" w:rsidP="001425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37">
        <w:rPr>
          <w:rFonts w:ascii="Times New Roman" w:hAnsi="Times New Roman" w:cs="Times New Roman"/>
          <w:b/>
          <w:sz w:val="28"/>
          <w:szCs w:val="28"/>
        </w:rPr>
        <w:t>4. Размеры выплат стимулирующего характера</w:t>
      </w:r>
    </w:p>
    <w:p w:rsidR="00142537" w:rsidRPr="00142537" w:rsidRDefault="00142537" w:rsidP="001425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4.1. Ежемесячная надбавка за качественные показатели деятельности рабочих устанавливается в следующих размерах: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9"/>
        <w:gridCol w:w="4649"/>
        <w:gridCol w:w="1620"/>
      </w:tblGrid>
      <w:tr w:rsidR="00142537" w:rsidRPr="00142537" w:rsidTr="0014253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b/>
                <w:sz w:val="28"/>
                <w:szCs w:val="28"/>
              </w:rPr>
              <w:t>Размер надбавки, процентов оклада</w:t>
            </w:r>
          </w:p>
        </w:tc>
      </w:tr>
      <w:tr w:rsidR="00142537" w:rsidRPr="00142537" w:rsidTr="0014253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37" w:rsidRPr="00142537" w:rsidRDefault="00142537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1. Своевременное и качественное выполнение всего комплекса работ в соответствии с установленными характеристиками и т.д.</w:t>
            </w:r>
          </w:p>
          <w:p w:rsidR="00142537" w:rsidRPr="00142537" w:rsidRDefault="001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lastRenderedPageBreak/>
        <w:t>Конкретный размер ежемесячной надбавки  к окладу за качественные показатели деятельности рабочих определяется Главой Новошарапского сельсовета.</w:t>
      </w:r>
    </w:p>
    <w:p w:rsidR="00142537" w:rsidRPr="00142537" w:rsidRDefault="00142537" w:rsidP="001425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 xml:space="preserve">4.2. Рабочим по итогам работы за календарный период (месяц, квартал, полугодие, год) могут выплачиваться премии при условии выполнения ими качественных показателей трудовой деятельности.  </w:t>
      </w:r>
    </w:p>
    <w:p w:rsidR="00142537" w:rsidRPr="00142537" w:rsidRDefault="00142537" w:rsidP="001425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 xml:space="preserve">Премии устанавливаются в процентах к окладу рабочих и максимальными размерами  для конкретного работника не ограничиваются. </w:t>
      </w:r>
    </w:p>
    <w:p w:rsidR="00142537" w:rsidRPr="00142537" w:rsidRDefault="00142537" w:rsidP="001425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 xml:space="preserve">Конкретный размер премии определяется Главой Новошарапского сельсовета. </w:t>
      </w:r>
    </w:p>
    <w:p w:rsidR="00142537" w:rsidRPr="00142537" w:rsidRDefault="00142537" w:rsidP="001425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4.3. Размер ежемесячной надбавки за продолжительность непрерывной работы (выслуга лет) определяется в зависимости от стажа работы, и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8"/>
        <w:gridCol w:w="5069"/>
      </w:tblGrid>
      <w:tr w:rsidR="00142537" w:rsidRPr="00142537" w:rsidTr="0014253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37" w:rsidRPr="00142537" w:rsidRDefault="001425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b/>
                <w:sz w:val="28"/>
                <w:szCs w:val="28"/>
              </w:rPr>
              <w:t>Процентов оклада</w:t>
            </w:r>
          </w:p>
        </w:tc>
      </w:tr>
      <w:tr w:rsidR="00142537" w:rsidRPr="00142537" w:rsidTr="0014253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2537" w:rsidRPr="00142537" w:rsidTr="0014253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2537" w:rsidRPr="00142537" w:rsidTr="0014253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2537" w:rsidRPr="00142537" w:rsidTr="0014253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От 18 до 23 лет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2537" w:rsidRPr="00142537" w:rsidTr="0014253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От 23 лет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37" w:rsidRPr="00142537" w:rsidRDefault="0014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 В стаж работы, дающий право на установление надбавки, включаются периоды непрерывной работы  в данном государственном органе. При этом учитываются периоды работы, ранее засчитанные в установленном порядке.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Основным документом, подтверждающим стаж непрерывной работы, является трудовая книжка.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Надбавка за продолжительность непрерывной работы выплачивается с месяца возникновения права на назначение или изменение размера этой надбавки.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lastRenderedPageBreak/>
        <w:t xml:space="preserve">4.4. Рабочим производится единовременная выплата </w:t>
      </w:r>
      <w:proofErr w:type="gramStart"/>
      <w:r w:rsidRPr="00142537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 в размере одного должностных окладов в соответствии с Положением о премировании</w:t>
      </w:r>
      <w:proofErr w:type="gramEnd"/>
      <w:r w:rsidRPr="00142537">
        <w:rPr>
          <w:rFonts w:ascii="Times New Roman" w:hAnsi="Times New Roman" w:cs="Times New Roman"/>
          <w:sz w:val="28"/>
          <w:szCs w:val="28"/>
        </w:rPr>
        <w:t>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4.5.Материальная помощь работникам выплачивается за счет средств фонда оплаты труда в порядке, определяемом Главой Новошарапского сельсовета в соответствии с Положением  о премировании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142537" w:rsidP="00142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37">
        <w:rPr>
          <w:rFonts w:ascii="Times New Roman" w:hAnsi="Times New Roman" w:cs="Times New Roman"/>
          <w:b/>
          <w:sz w:val="28"/>
          <w:szCs w:val="28"/>
        </w:rPr>
        <w:t>5. Фонд оплаты труда</w:t>
      </w:r>
    </w:p>
    <w:p w:rsidR="00142537" w:rsidRPr="00142537" w:rsidRDefault="00142537" w:rsidP="00142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ab/>
        <w:t>5.1. При формировании фонда оплаты труда работников сверх средств, направляемых для выплаты  должностных окладов, предусматриваются средства  для выплаты (в расчете на год):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ab/>
        <w:t>- ежемесячной надбавки  к окладу за качественные показатели деятельности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уборщику служебных помещений – в размере 2 окладов.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ab/>
        <w:t xml:space="preserve"> - </w:t>
      </w:r>
      <w:proofErr w:type="gramStart"/>
      <w:r w:rsidRPr="001425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537">
        <w:rPr>
          <w:rFonts w:ascii="Times New Roman" w:hAnsi="Times New Roman" w:cs="Times New Roman"/>
          <w:sz w:val="28"/>
          <w:szCs w:val="28"/>
        </w:rPr>
        <w:t>ремий по результатам работы уборщику служебных помещений - в размере 6 окладов.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ab/>
        <w:t>- ежемесячной надбавки к окладу  за выслугу лет уборщику служебных помещений - в размере 2 окладов.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ab/>
        <w:t>- единовременной выплаты при предоставлении ежегодного оплачиваемого отпуска  уборщику служебных помещений – в размере 1 оклада.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ab/>
        <w:t>- материальной помощи уборщику служебных помещений - в размере 1 оклада.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ab/>
        <w:t>5.2. Фонд оплаты труда работников  формируется за счет средств,  предусмотренных пунктом 5.1. настоящего раздела, а также за счет средств: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ab/>
        <w:t>на выплату районного коэффициента;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ab/>
        <w:t>на иные выплаты, предусмотренные федеральными законами и иными нормативными правовыми актами Российской Федерации.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142537" w:rsidP="001425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37" w:rsidRPr="00142537" w:rsidRDefault="00142537" w:rsidP="001425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37">
        <w:rPr>
          <w:rFonts w:ascii="Times New Roman" w:hAnsi="Times New Roman" w:cs="Times New Roman"/>
          <w:b/>
          <w:sz w:val="28"/>
          <w:szCs w:val="28"/>
        </w:rPr>
        <w:t>6. Заключительные положения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11. 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142537" w:rsidRPr="00142537" w:rsidRDefault="00142537" w:rsidP="001425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37">
        <w:rPr>
          <w:rFonts w:ascii="Times New Roman" w:hAnsi="Times New Roman" w:cs="Times New Roman"/>
          <w:sz w:val="28"/>
          <w:szCs w:val="28"/>
        </w:rPr>
        <w:t>12. Индексация (увеличение) заработной платы рабочих производится в сроки и размерах, устанавливаемых для государственных служащих.</w:t>
      </w:r>
    </w:p>
    <w:p w:rsidR="00142537" w:rsidRPr="00142537" w:rsidRDefault="00142537" w:rsidP="001425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537" w:rsidRPr="00142537" w:rsidRDefault="00142537" w:rsidP="00142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37" w:rsidRPr="00142537" w:rsidRDefault="00142537" w:rsidP="00142537">
      <w:pPr>
        <w:ind w:left="5580"/>
        <w:jc w:val="both"/>
        <w:rPr>
          <w:rFonts w:ascii="Times New Roman" w:hAnsi="Times New Roman" w:cs="Times New Roman"/>
          <w:sz w:val="28"/>
          <w:szCs w:val="20"/>
        </w:rPr>
      </w:pPr>
    </w:p>
    <w:p w:rsidR="00DF6792" w:rsidRPr="00142537" w:rsidRDefault="00DF6792">
      <w:pPr>
        <w:rPr>
          <w:rFonts w:ascii="Times New Roman" w:hAnsi="Times New Roman" w:cs="Times New Roman"/>
        </w:rPr>
      </w:pPr>
    </w:p>
    <w:sectPr w:rsidR="00DF6792" w:rsidRPr="0014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537"/>
    <w:rsid w:val="00142537"/>
    <w:rsid w:val="00D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2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42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142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7194</Characters>
  <Application>Microsoft Office Word</Application>
  <DocSecurity>0</DocSecurity>
  <Lines>59</Lines>
  <Paragraphs>16</Paragraphs>
  <ScaleCrop>false</ScaleCrop>
  <Company>Grizli777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2017-10-11T12:04:00Z</dcterms:created>
  <dcterms:modified xsi:type="dcterms:W3CDTF">2017-10-11T12:04:00Z</dcterms:modified>
</cp:coreProperties>
</file>